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CE61" w14:textId="77777777" w:rsidR="003E10CC" w:rsidRDefault="001D70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Arial"/>
          <w:b/>
          <w:bCs/>
          <w:color w:val="003892"/>
          <w:sz w:val="24"/>
          <w:szCs w:val="24"/>
        </w:rPr>
        <w:t>Historia i teraźniejszość. Liceum ogólnokształcące i technikum. Zakres podstawowy</w:t>
      </w:r>
    </w:p>
    <w:p w14:paraId="6D544118" w14:textId="77777777" w:rsidR="003E10CC" w:rsidRDefault="001D70FA">
      <w:pPr>
        <w:pStyle w:val="Stopka"/>
        <w:tabs>
          <w:tab w:val="clear" w:pos="9072"/>
          <w:tab w:val="right" w:pos="9639"/>
        </w:tabs>
        <w:spacing w:before="12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color w:val="003892"/>
          <w:sz w:val="24"/>
          <w:szCs w:val="24"/>
        </w:rPr>
        <w:t xml:space="preserve">       AUTORZY: Izabella Modzelewska-Rysak, Leszek Rysak</w:t>
      </w:r>
    </w:p>
    <w:p w14:paraId="54521819" w14:textId="77777777" w:rsidR="003E10CC" w:rsidRDefault="003E10CC">
      <w:pPr>
        <w:spacing w:after="0" w:line="240" w:lineRule="auto"/>
        <w:rPr>
          <w:rFonts w:ascii="Times New Roman" w:hAnsi="Times New Roman" w:cs="Arial"/>
          <w:b/>
          <w:bCs/>
          <w:color w:val="F09120"/>
          <w:sz w:val="24"/>
          <w:szCs w:val="24"/>
        </w:rPr>
      </w:pPr>
    </w:p>
    <w:p w14:paraId="6C7363F3" w14:textId="77777777" w:rsidR="003E10CC" w:rsidRDefault="001D70F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color w:val="003892"/>
          <w:sz w:val="24"/>
          <w:szCs w:val="24"/>
        </w:rPr>
        <w:t>Wymagania edukacyjne na poszczególne oceny</w:t>
      </w:r>
      <w:r>
        <w:rPr>
          <w:rStyle w:val="Zakotwiczenieprzypisudolnego"/>
          <w:rFonts w:ascii="Times New Roman" w:eastAsia="Calibri" w:hAnsi="Times New Roman" w:cs="Arial"/>
          <w:b/>
          <w:bCs/>
          <w:color w:val="003892"/>
          <w:sz w:val="24"/>
          <w:szCs w:val="24"/>
        </w:rPr>
        <w:footnoteReference w:id="1"/>
      </w:r>
    </w:p>
    <w:p w14:paraId="21CE5E8F" w14:textId="77777777" w:rsidR="003E10CC" w:rsidRDefault="003E1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84"/>
        <w:gridCol w:w="2610"/>
        <w:gridCol w:w="2609"/>
        <w:gridCol w:w="2607"/>
        <w:gridCol w:w="2609"/>
        <w:gridCol w:w="2606"/>
      </w:tblGrid>
      <w:tr w:rsidR="003E10CC" w14:paraId="7E29F177" w14:textId="77777777">
        <w:trPr>
          <w:trHeight w:val="1402"/>
        </w:trPr>
        <w:tc>
          <w:tcPr>
            <w:tcW w:w="1784" w:type="dxa"/>
            <w:shd w:val="clear" w:color="auto" w:fill="F7C281"/>
            <w:vAlign w:val="center"/>
          </w:tcPr>
          <w:p w14:paraId="050E6267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2611" w:type="dxa"/>
            <w:shd w:val="clear" w:color="auto" w:fill="F7C281"/>
            <w:vAlign w:val="center"/>
          </w:tcPr>
          <w:p w14:paraId="13E1C3B7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</w:p>
          <w:p w14:paraId="571E0318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dopuszczająca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</w:p>
          <w:p w14:paraId="356991BA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2611" w:type="dxa"/>
            <w:shd w:val="clear" w:color="auto" w:fill="F7C281"/>
            <w:vAlign w:val="center"/>
          </w:tcPr>
          <w:p w14:paraId="2E085687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dostateczna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</w:p>
          <w:p w14:paraId="10EC373D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Uczeń wie i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potrafi to, co na</w:t>
            </w:r>
          </w:p>
          <w:p w14:paraId="510FC97E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ocenę dopuszczającą,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2609" w:type="dxa"/>
            <w:shd w:val="clear" w:color="auto" w:fill="F7C281"/>
            <w:vAlign w:val="center"/>
          </w:tcPr>
          <w:p w14:paraId="65B1D8AA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dobra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</w:p>
          <w:p w14:paraId="72D1CF31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Uczeń wie i potrafi to, co na</w:t>
            </w:r>
          </w:p>
          <w:p w14:paraId="7606780B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ocenę dostateczną,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2611" w:type="dxa"/>
            <w:shd w:val="clear" w:color="auto" w:fill="F7C281"/>
            <w:vAlign w:val="center"/>
          </w:tcPr>
          <w:p w14:paraId="713837E7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bardzo dobra</w:t>
            </w:r>
          </w:p>
          <w:p w14:paraId="14C58724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Uczeń wie i potrafi to, co na</w:t>
            </w:r>
          </w:p>
          <w:p w14:paraId="78DE2B0B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ocenę dobrą,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oraz:</w:t>
            </w:r>
          </w:p>
        </w:tc>
        <w:tc>
          <w:tcPr>
            <w:tcW w:w="2608" w:type="dxa"/>
            <w:shd w:val="clear" w:color="auto" w:fill="F7C281"/>
            <w:vAlign w:val="center"/>
          </w:tcPr>
          <w:p w14:paraId="7E264352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celująca</w:t>
            </w:r>
          </w:p>
          <w:p w14:paraId="1CF1AA96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Uczeń wie i potrafi to, co na ocenę bardzo dobrą,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oraz:</w:t>
            </w:r>
            <w:bookmarkStart w:id="1" w:name="_Hlk112881395"/>
            <w:bookmarkEnd w:id="1"/>
          </w:p>
        </w:tc>
      </w:tr>
      <w:tr w:rsidR="003E10CC" w14:paraId="5A74548E" w14:textId="77777777">
        <w:trPr>
          <w:trHeight w:val="397"/>
        </w:trPr>
        <w:tc>
          <w:tcPr>
            <w:tcW w:w="14834" w:type="dxa"/>
            <w:gridSpan w:val="6"/>
            <w:shd w:val="clear" w:color="auto" w:fill="8DB3E2"/>
            <w:vAlign w:val="center"/>
          </w:tcPr>
          <w:p w14:paraId="2A214C2E" w14:textId="77777777" w:rsidR="003E10CC" w:rsidRDefault="001D70FA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I. WPROWADZENIE</w:t>
            </w:r>
          </w:p>
        </w:tc>
      </w:tr>
      <w:tr w:rsidR="003E10CC" w14:paraId="59E3891F" w14:textId="77777777">
        <w:trPr>
          <w:trHeight w:val="397"/>
        </w:trPr>
        <w:tc>
          <w:tcPr>
            <w:tcW w:w="1784" w:type="dxa"/>
          </w:tcPr>
          <w:p w14:paraId="3BDCAF3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1. Człowiek i grupy społeczne</w:t>
            </w:r>
          </w:p>
          <w:p w14:paraId="1C3BA75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</w:rPr>
            </w:pPr>
          </w:p>
        </w:tc>
        <w:tc>
          <w:tcPr>
            <w:tcW w:w="2611" w:type="dxa"/>
          </w:tcPr>
          <w:p w14:paraId="378F182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podstawowe sposoby realizacji społecznego bytu człowieka: rodzinę, naród, państwo i związki państw;</w:t>
            </w:r>
          </w:p>
          <w:p w14:paraId="079DA94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cechy grupy społecznej;</w:t>
            </w:r>
          </w:p>
          <w:p w14:paraId="46746D0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czynniki ułatwiające i utrudniające relacje 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grupie;</w:t>
            </w:r>
          </w:p>
          <w:p w14:paraId="7B8763A8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grupa społeczna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więź społeczna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rodzina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socjalizacja</w:t>
            </w:r>
          </w:p>
        </w:tc>
        <w:tc>
          <w:tcPr>
            <w:tcW w:w="2611" w:type="dxa"/>
          </w:tcPr>
          <w:p w14:paraId="1407142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zbiorowość, rola społeczna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umowa społeczna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liberalizm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E9BDF45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rozumie pojęcie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animal sociale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14:paraId="6CD15D7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klasyczne określenie dobra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wspólnego 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bonum commune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);</w:t>
            </w:r>
          </w:p>
          <w:p w14:paraId="36FC755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wyróżnia wspólnoty i grupy tworzące się na podstawie podobieństwa pochodzenia, kultury, sposobu życia, interesów i sytuacji ekonomicznej, w tym zarówno narody, jak i inne grupy społeczne znajdujące się wewnątrz podstawowych spo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łeczności ludzkich (np. klasy i warstwy społeczne, grupy zawodowe, wyznaniowe, narodowościowe);</w:t>
            </w:r>
          </w:p>
          <w:p w14:paraId="0E2DE72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podział grup społecznych;</w:t>
            </w:r>
          </w:p>
          <w:p w14:paraId="120A135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głównych twórców nowożytnych teorii umowy społecznej: John Locke, Thomas Hobbes, Jean Jacques-Rousseau</w:t>
            </w:r>
          </w:p>
        </w:tc>
        <w:tc>
          <w:tcPr>
            <w:tcW w:w="2609" w:type="dxa"/>
            <w:shd w:val="clear" w:color="auto" w:fill="auto"/>
          </w:tcPr>
          <w:p w14:paraId="2793FB3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dlac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zego człowieka rozumie się w tradycji jako „istotę społeczną”;</w:t>
            </w:r>
          </w:p>
          <w:p w14:paraId="73186EC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i omawia przykładowe role społeczne, które odgrywa człowiek;</w:t>
            </w:r>
          </w:p>
          <w:p w14:paraId="0B5F8CD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relacje grupa społeczna–jednostka;</w:t>
            </w:r>
          </w:p>
          <w:p w14:paraId="6BA9AF0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podaje przykłady wpływu otoczenia społecznego na jednostkę w różnych dziedz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inach;</w:t>
            </w:r>
          </w:p>
          <w:p w14:paraId="67AD54F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znaczenie życia społecznego dla rozwoju i spełnienia człowieka;</w:t>
            </w:r>
          </w:p>
          <w:p w14:paraId="7FA29B5E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wie, kim byli Arystoteles i Platon, oraz omawia ich dokonania</w:t>
            </w:r>
          </w:p>
          <w:p w14:paraId="1C2F5219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5E6D40C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warunki, w których zbiorowość przekształca się w grupę społeczną;</w:t>
            </w:r>
          </w:p>
          <w:p w14:paraId="205A046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i ocenia zagrożenia wynikaj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ące z pozbawienia człowieka możliwości dorastania w społeczeństwie;</w:t>
            </w:r>
          </w:p>
          <w:p w14:paraId="3866D60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zagrożenia wynikające z nacisku grupy na jednostkę;</w:t>
            </w:r>
          </w:p>
          <w:p w14:paraId="5C2DADB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rolę grup społecznych w procesie socjalizacji;</w:t>
            </w:r>
          </w:p>
          <w:p w14:paraId="5F6F651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w jaki sposób rozwijana w nowożytności koncepcja umowy społ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ecznej różni się od tradycyjnego pojmowania naturalności więzi społecznych;</w:t>
            </w:r>
          </w:p>
          <w:p w14:paraId="4F86AC2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stosunek myśli liberalnej do idei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bonum commune</w:t>
            </w:r>
          </w:p>
          <w:p w14:paraId="7C872ADB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688419D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i ocenia realizację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bonum commune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we współczesnych doktrynach politycznych</w:t>
            </w:r>
          </w:p>
          <w:p w14:paraId="2EDFC70A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</w:tr>
      <w:tr w:rsidR="003E10CC" w14:paraId="5D7D624D" w14:textId="77777777">
        <w:trPr>
          <w:trHeight w:val="397"/>
        </w:trPr>
        <w:tc>
          <w:tcPr>
            <w:tcW w:w="1784" w:type="dxa"/>
          </w:tcPr>
          <w:p w14:paraId="091056D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2. Obywatele</w:t>
            </w:r>
          </w:p>
        </w:tc>
        <w:tc>
          <w:tcPr>
            <w:tcW w:w="2611" w:type="dxa"/>
          </w:tcPr>
          <w:p w14:paraId="52E00AC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obywatel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obywatelstwo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wspólnota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republika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res publica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prawa i obowiązki obywatelskie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prawa polityczne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80A9FF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dwa podstawowe sposoby nabycia obywatelstwa;</w:t>
            </w:r>
          </w:p>
          <w:p w14:paraId="4AA732C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• wymienia obowiązki obywatela RP zapisane w 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Konstytucji Rzeczypo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spolitej Polskiej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 1997 r.</w:t>
            </w:r>
          </w:p>
          <w:p w14:paraId="0B54B05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4AFD2F6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dwa podstawowe sposoby nabycia obywatelstwa, ze zwróceniem szczególnej uwagi na obywatelstwo polskie i unijne;</w:t>
            </w:r>
          </w:p>
          <w:p w14:paraId="6E11492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jakie są podstawowe zadania państwa wobec jego obywateli oraz obowiązki obywateli względem 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państwa</w:t>
            </w:r>
          </w:p>
          <w:p w14:paraId="283148B9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BFA0FA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238F3A0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inne niż prawo krwi i prawo ziemi sposoby nabycia obywatelstwa;</w:t>
            </w:r>
          </w:p>
          <w:p w14:paraId="48B25358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państwo jako zorganizowane społeczeństwo 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res publica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14:paraId="7C343C4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uprawnienia, które polski obywatel zyskuje wraz z nabyciem pełni praw obywatelskich (w zwią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zku z osiągnięciem odpowiedniego wieku)</w:t>
            </w:r>
          </w:p>
          <w:p w14:paraId="7AF9131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405DFBB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rolę państwa w życiu obywatela i rolę obywatela w życiu państwa;</w:t>
            </w:r>
          </w:p>
          <w:p w14:paraId="708FB69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status obywatela w starożytnych demokratycznych Atenach i w dzisiejszej Polsce – wskazuje najważniejsze podobieństwa i ró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żnice;</w:t>
            </w:r>
          </w:p>
          <w:p w14:paraId="545D71E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ocenia ograniczenia, które dotykają polskiego obywatela w związku z pozbawieniem pełni praw publicznych;</w:t>
            </w:r>
          </w:p>
          <w:p w14:paraId="1FE7DF9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przypomina przykłady grup społecznych, które w różnych okresach historycznych były pozbawione praw politycznych</w:t>
            </w:r>
          </w:p>
        </w:tc>
        <w:tc>
          <w:tcPr>
            <w:tcW w:w="2608" w:type="dxa"/>
          </w:tcPr>
          <w:p w14:paraId="1D78BB6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• na wybranych przykładach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ocenia, jak współczesne państwa wypełniają swoje obowiązki wobec obywateli, a jak obywatele wobec państw;</w:t>
            </w:r>
          </w:p>
          <w:p w14:paraId="3BBA56A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ocenia korzyści wynikające z posiadania obywatelstwa unijnego;</w:t>
            </w:r>
          </w:p>
          <w:p w14:paraId="769C192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analizuje problemy, z którymi musi się mierzyć bezpaństwowiec (apatryda) – formułuj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 argumenty</w:t>
            </w:r>
          </w:p>
        </w:tc>
      </w:tr>
      <w:tr w:rsidR="003E10CC" w14:paraId="48569FAB" w14:textId="77777777">
        <w:trPr>
          <w:trHeight w:val="397"/>
        </w:trPr>
        <w:tc>
          <w:tcPr>
            <w:tcW w:w="1784" w:type="dxa"/>
          </w:tcPr>
          <w:p w14:paraId="2E31174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3. Naród</w:t>
            </w:r>
          </w:p>
        </w:tc>
        <w:tc>
          <w:tcPr>
            <w:tcW w:w="2611" w:type="dxa"/>
          </w:tcPr>
          <w:p w14:paraId="2C573A4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różne postawy jednostki wobec państwa i narodu;</w:t>
            </w:r>
          </w:p>
          <w:p w14:paraId="2963080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dwie koncepcje powstania narodu –</w:t>
            </w:r>
          </w:p>
          <w:p w14:paraId="5737359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etniczno-kulturową i polityczną;</w:t>
            </w:r>
          </w:p>
          <w:p w14:paraId="7C103EF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migracja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emigracja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imigracja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patriotyzm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64C8AC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nazywa więzi łączące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jednostkę z ojczyzną</w:t>
            </w:r>
          </w:p>
        </w:tc>
        <w:tc>
          <w:tcPr>
            <w:tcW w:w="2611" w:type="dxa"/>
          </w:tcPr>
          <w:p w14:paraId="1174063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tutejszy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naród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tożsamość narodowa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patriotyzm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(w tym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patriotyzm lokalny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patriotyzm gospodarczy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nacjonalizm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szowinizm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ksenofobia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kosmopolityzm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internacjonalizm</w:t>
            </w:r>
          </w:p>
          <w:p w14:paraId="2B1F9911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3FEB47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9" w:type="dxa"/>
          </w:tcPr>
          <w:p w14:paraId="0D31F54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na czym polega patriotyzm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 czym różni się od szowinizmu i kosmopolityzmu;</w:t>
            </w:r>
          </w:p>
          <w:p w14:paraId="509BB9F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związki między nacjonalizmem i patriotyzmem;</w:t>
            </w:r>
          </w:p>
          <w:p w14:paraId="013A781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odwołując się do przykładów, omawia dwie koncepcje powstania narodu: etniczno-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-kulturową i polityczną</w:t>
            </w:r>
          </w:p>
        </w:tc>
        <w:tc>
          <w:tcPr>
            <w:tcW w:w="2611" w:type="dxa"/>
          </w:tcPr>
          <w:p w14:paraId="3B1E2D7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i omawia przykłady postaw patriotyc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znych we współczesnym świecie;</w:t>
            </w:r>
          </w:p>
          <w:p w14:paraId="0FC3655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proces tworzenia się narodu;</w:t>
            </w:r>
          </w:p>
          <w:p w14:paraId="561436A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wybranych przykładach omawia postawy jednostki wobec państwa;</w:t>
            </w:r>
          </w:p>
          <w:p w14:paraId="6081F31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ocenia zagrożenia wynikające z postawy szowinistycznej i ksenofobicznej;</w:t>
            </w:r>
          </w:p>
          <w:p w14:paraId="7457C9A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• analizuje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znaczenie poczucia tożsamości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narodowej w współczesnym świecie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 to zagadnienie na przykładzie narodu polskiego i innego narodu</w:t>
            </w:r>
          </w:p>
        </w:tc>
        <w:tc>
          <w:tcPr>
            <w:tcW w:w="2608" w:type="dxa"/>
          </w:tcPr>
          <w:p w14:paraId="66E078D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konteksty znaczeniowe procesu tworzenia się narodu;</w:t>
            </w:r>
          </w:p>
          <w:p w14:paraId="4C87BFB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wpływ procesu globalizacji na funkcjonowanie państw narodowych;</w:t>
            </w:r>
          </w:p>
          <w:p w14:paraId="0ED2CED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ocenia znacze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 poczucia świadomości narodowej we współczesnym świecie, odwołuje się do przykładów</w:t>
            </w:r>
          </w:p>
        </w:tc>
      </w:tr>
      <w:tr w:rsidR="003E10CC" w14:paraId="640AE00E" w14:textId="77777777">
        <w:trPr>
          <w:trHeight w:val="397"/>
        </w:trPr>
        <w:tc>
          <w:tcPr>
            <w:tcW w:w="1784" w:type="dxa"/>
          </w:tcPr>
          <w:p w14:paraId="3E38437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4. Państwo</w:t>
            </w:r>
          </w:p>
        </w:tc>
        <w:tc>
          <w:tcPr>
            <w:tcW w:w="2611" w:type="dxa"/>
          </w:tcPr>
          <w:p w14:paraId="0F818FC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państwo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władza państwowa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organy państwa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suwerenność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terytorium państwa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876048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nazywa atrybuty państwa;</w:t>
            </w:r>
          </w:p>
          <w:p w14:paraId="6297DE0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różne formy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rządów, biorąc pod uwagę udział obywateli w ich funkcjonowaniu (oligarchia, demokracja, monarchia, arystokracja, tyrania, ochlokracja, republika);</w:t>
            </w:r>
          </w:p>
          <w:p w14:paraId="772E3EB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genezę państw narodowych</w:t>
            </w:r>
          </w:p>
        </w:tc>
        <w:tc>
          <w:tcPr>
            <w:tcW w:w="2611" w:type="dxa"/>
          </w:tcPr>
          <w:p w14:paraId="4428A97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oligarchia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arystokracja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monarc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tyrania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ochlokracja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państwo narodowe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6FA93B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atrybuty państwa;</w:t>
            </w:r>
          </w:p>
          <w:p w14:paraId="3602EBD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formy rządów: oligarchia, demokracja, monarchia, arystokracja, tyrania, ochlokracja, republika;</w:t>
            </w:r>
          </w:p>
          <w:p w14:paraId="291E6EB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we współczesnym świecie państwa narodowe i wielonarodowe</w:t>
            </w:r>
          </w:p>
          <w:p w14:paraId="0F898978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9" w:type="dxa"/>
          </w:tcPr>
          <w:p w14:paraId="2A6B7C2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jak należy rozumieć przymusowość jako jedną z cech państwa, oraz podaje przykłady stosowania przymusu przez państwo;</w:t>
            </w:r>
          </w:p>
          <w:p w14:paraId="78871A3E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uzasadnia na podstawie fragmentu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Polityki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Arystotelesa (tekst w podręczniku), dlaczego starożytny filozof zaliczał demokrację do ustroj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ów „zwyrodniałych”;</w:t>
            </w:r>
          </w:p>
          <w:p w14:paraId="7206A53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dążenia do utworzenia państw narodowych na przykładzie Włoch i Niemiec</w:t>
            </w:r>
          </w:p>
          <w:p w14:paraId="03FC65E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1" w:type="dxa"/>
          </w:tcPr>
          <w:p w14:paraId="04DF0B3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na czym polega demokracja w wersji klasycznej (jako sposób wyznaczania rządzących);</w:t>
            </w:r>
          </w:p>
          <w:p w14:paraId="7BBD255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przypomina i omawia zasady działania różnych typów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monarchii, które poznał w szkole podstawowej (absolutna, konstytucyjna, parlamentarna), bierze pod uwagę udział obywateli w sprawowaniu władzy</w:t>
            </w:r>
          </w:p>
        </w:tc>
        <w:tc>
          <w:tcPr>
            <w:tcW w:w="2608" w:type="dxa"/>
          </w:tcPr>
          <w:p w14:paraId="224DC8C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ocenia, czy model państwa narodowego powinien być dominujący we współczesnej Europie, uzasadnia swoją odpowiedź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D1C5C3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postać Georga Jellinka (twórca trójelementowej teorii państwa)</w:t>
            </w:r>
          </w:p>
        </w:tc>
      </w:tr>
      <w:tr w:rsidR="003E10CC" w14:paraId="29EE08A7" w14:textId="77777777">
        <w:trPr>
          <w:trHeight w:val="397"/>
        </w:trPr>
        <w:tc>
          <w:tcPr>
            <w:tcW w:w="1784" w:type="dxa"/>
          </w:tcPr>
          <w:p w14:paraId="104261C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lastRenderedPageBreak/>
              <w:t>5. Powstanie II Rzeczypospolitej</w:t>
            </w:r>
          </w:p>
        </w:tc>
        <w:tc>
          <w:tcPr>
            <w:tcW w:w="2611" w:type="dxa"/>
          </w:tcPr>
          <w:p w14:paraId="5DAD462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praca organiczna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wychowanie patriotyczne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inkorporacja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federacja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B69884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różne formy działań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patriotycznych i niepodległościowych podejmowanych przez  Polaków w okresie zaborów (walka zbrojna, dyplomacja, nurt „ku pokrzepieniu serc”, strajki szkolne, praca organiczna i in.);</w:t>
            </w:r>
          </w:p>
          <w:p w14:paraId="7A9F0A6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rozróżnia dwa nurty działań podejmowanych przez Polaków w okresie zabor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ów – „walkę bezpośrednią” (zbrojną) i „walkę pośrednią” (inne formy przeciwstawiania się zaborcy)</w:t>
            </w:r>
          </w:p>
          <w:p w14:paraId="425DF03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1" w:type="dxa"/>
          </w:tcPr>
          <w:p w14:paraId="28D685F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insurekcja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międzynarodowe uznanie państwa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Sejm Ustawodawczy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sztafeta pokoleń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8DE2FD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• omawia na przykładach różne formy działań patri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otycznych i niepodległościowych podejmowanych przez Polaków w okresie zaborów (walka zbrojna, dyplomacja, nurt „ku pokrzepieniu serc”, strajk szkolny, praca organiczna i in.);</w:t>
            </w:r>
          </w:p>
          <w:p w14:paraId="0EDE4684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 federacyjną i inkorporacyjną koncepcję granicy wschodniej II RP;</w:t>
            </w:r>
          </w:p>
          <w:p w14:paraId="0043EFA7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ia główne postanowienia konstytucji marcowej z 1921 r.</w:t>
            </w:r>
          </w:p>
        </w:tc>
        <w:tc>
          <w:tcPr>
            <w:tcW w:w="2609" w:type="dxa"/>
          </w:tcPr>
          <w:p w14:paraId="494D87E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przykładzie II Rzeczypospolitej wyjaśnia znaczenie procesów kształtowania się granic państwowych i konstytuowania się państwa;</w:t>
            </w:r>
          </w:p>
          <w:p w14:paraId="3E635F2B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suwerenność narodu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ludu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546C9F8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07BEDE4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 znaczenie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związków międzypokoleniowych (w rodzinach, w grupach społecznych) dla kultywowania idei niepodległej Rzeczypospolitej w czasie zaborów;</w:t>
            </w:r>
          </w:p>
          <w:p w14:paraId="4062F41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uzasadnia, że ustrój Polski odrodzonej po 1918 r. opierał się na zasadzie suwerenności narodu;</w:t>
            </w:r>
          </w:p>
          <w:p w14:paraId="2F3AA7B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na czym pol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ega demokracja w wersji liberalnej (jako polityczny wyraz suwerenności ludu)</w:t>
            </w:r>
          </w:p>
        </w:tc>
        <w:tc>
          <w:tcPr>
            <w:tcW w:w="2608" w:type="dxa"/>
          </w:tcPr>
          <w:p w14:paraId="7841DCE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wpływ związków międzypokoleniowych (w rodzinach, w grupach społecznych) dla kultywowania idei niepodległej Rzeczypospolitej w czasie zaborów</w:t>
            </w:r>
          </w:p>
          <w:p w14:paraId="11C411DD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</w:tr>
      <w:tr w:rsidR="003E10CC" w14:paraId="7985E04A" w14:textId="77777777">
        <w:trPr>
          <w:trHeight w:val="397"/>
        </w:trPr>
        <w:tc>
          <w:tcPr>
            <w:tcW w:w="1784" w:type="dxa"/>
          </w:tcPr>
          <w:p w14:paraId="2BCEBF7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6. Od I do II wojny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światowej</w:t>
            </w:r>
          </w:p>
        </w:tc>
        <w:tc>
          <w:tcPr>
            <w:tcW w:w="2611" w:type="dxa"/>
          </w:tcPr>
          <w:p w14:paraId="3593248C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 postanowienia konferencji w Wersalu;</w:t>
            </w:r>
          </w:p>
          <w:p w14:paraId="68EDE82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główne treści orędzia (tzw. 14 punktów) prezydenta Wilsona;</w:t>
            </w:r>
          </w:p>
          <w:p w14:paraId="09F0CD9C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konferencja pokojowa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system wersalski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Liga Narodów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Anschluss Austrii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konferencja monachijska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pakt Ribbentr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op–Mołotow</w:t>
            </w:r>
          </w:p>
          <w:p w14:paraId="760C832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1" w:type="dxa"/>
          </w:tcPr>
          <w:p w14:paraId="59116DA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utrzymywania pokoju w stosunkach międzynarodowych;</w:t>
            </w:r>
          </w:p>
          <w:p w14:paraId="0CA96A5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działalność Ligi Narodów;</w:t>
            </w:r>
          </w:p>
          <w:p w14:paraId="5A60E23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prezentuje przyczyny upadku ładu wersalskiego;</w:t>
            </w:r>
          </w:p>
          <w:p w14:paraId="51D45A8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demilitaryzacja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układ w Rapallo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pakt reński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remilitaryzacja</w:t>
            </w:r>
          </w:p>
        </w:tc>
        <w:tc>
          <w:tcPr>
            <w:tcW w:w="2609" w:type="dxa"/>
          </w:tcPr>
          <w:p w14:paraId="5AA216D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dlaczego po Wielkiej Wojnie twórcy nowego ładu światowego dążyli do tworzenia państw narodowych;</w:t>
            </w:r>
          </w:p>
          <w:p w14:paraId="1752B3C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etapy upadku ładu wersalskiego;</w:t>
            </w:r>
          </w:p>
          <w:p w14:paraId="5AC7E7A8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racja stanu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izolacjonizm</w:t>
            </w:r>
          </w:p>
        </w:tc>
        <w:tc>
          <w:tcPr>
            <w:tcW w:w="2611" w:type="dxa"/>
          </w:tcPr>
          <w:p w14:paraId="420EF65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zagrożenia wynikające z izolacji państw na 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renie międzynarodowej na przykładzie Republiki Weimarskiej i ZSRS;</w:t>
            </w:r>
          </w:p>
          <w:p w14:paraId="530E41E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działalność Ligi Narodów;</w:t>
            </w:r>
          </w:p>
          <w:p w14:paraId="6503E96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przyczyny niepowodzenia wielkiego projektu, jakim była Liga Narodów</w:t>
            </w:r>
          </w:p>
        </w:tc>
        <w:tc>
          <w:tcPr>
            <w:tcW w:w="2608" w:type="dxa"/>
          </w:tcPr>
          <w:p w14:paraId="621DF91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wybranych przykładach ocenia to, w jaki sposób państwa europejskie w okr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esie międzywojennym realizowały swoją rację stanu;</w:t>
            </w:r>
          </w:p>
          <w:p w14:paraId="32EAF8E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podstawie wiedzy o współczesnym świecie wyjaśnia, jakie znaczenie w polityce międzynarodowej mają organizacje powołane w celu utrzymania pokoju</w:t>
            </w:r>
          </w:p>
          <w:p w14:paraId="7B5B52D6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</w:tr>
      <w:tr w:rsidR="003E10CC" w14:paraId="21A9E6E4" w14:textId="77777777">
        <w:trPr>
          <w:trHeight w:val="397"/>
        </w:trPr>
        <w:tc>
          <w:tcPr>
            <w:tcW w:w="1784" w:type="dxa"/>
          </w:tcPr>
          <w:p w14:paraId="1FFA5D2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7. Dwudziesto-wieczne totalitaryzmy</w:t>
            </w:r>
          </w:p>
        </w:tc>
        <w:tc>
          <w:tcPr>
            <w:tcW w:w="2611" w:type="dxa"/>
          </w:tcPr>
          <w:p w14:paraId="62D4C57C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dwudziestowieczne totalitaryzmy: komunizm (w ZSRS), faszyzm (we Włoszech), nazizm (w Niemczech);</w:t>
            </w:r>
          </w:p>
          <w:p w14:paraId="17A90CDA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wodzów dwudziestowiecznych państw / ruchów totalitaryzmów (Józef Stalin, Benito Mussolini, Adolf Hitler);</w:t>
            </w:r>
          </w:p>
          <w:p w14:paraId="4B5EC2C3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podobieństwa i różnice miedzy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dwudziestowiecznymi totalitaryzmami;</w:t>
            </w:r>
          </w:p>
          <w:p w14:paraId="0D629C31" w14:textId="77777777" w:rsidR="003E10CC" w:rsidRDefault="001D70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totalitaryzm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komunizm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tzw. rewolucja październikowa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GUŁAG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łagry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faszyzm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marsz na Rzym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nazizm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Narodowosocjalistyczna Niemiecka Partia Robotników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NSDAP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obozy koncentracyjne, III Rzesza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wódz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Duce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Führer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B0EC61D" w14:textId="77777777" w:rsidR="003E10CC" w:rsidRDefault="003E10C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1" w:type="dxa"/>
          </w:tcPr>
          <w:p w14:paraId="20D316DC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zestawia główne cechy dwudziestowiecznych totalitaryzmów (komunizm, faszyzm, nazizm);</w:t>
            </w:r>
          </w:p>
          <w:p w14:paraId="5D20C4F8" w14:textId="77777777" w:rsidR="003E10CC" w:rsidRDefault="001D70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dyktatura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kolektywizacja rolnictwa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centralne zarządzanie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klasa społeczna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Wielkie Włochy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ustawy norymberskie</w:t>
            </w:r>
          </w:p>
        </w:tc>
        <w:tc>
          <w:tcPr>
            <w:tcW w:w="2609" w:type="dxa"/>
          </w:tcPr>
          <w:p w14:paraId="4D315022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wnuje dwudziestowieczne totalitaryzmy (komunizm, faszyzm, nazizm);</w:t>
            </w:r>
          </w:p>
          <w:p w14:paraId="77DC13B9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przedstawia, sposoby „wychowywania nowego obywatela” w państwach totalitarnych;</w:t>
            </w:r>
          </w:p>
          <w:p w14:paraId="50ED8536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opisuje ograniczenia wolności i praw obywatelskich w państwach totalitarnych</w:t>
            </w:r>
          </w:p>
          <w:p w14:paraId="431C3CC3" w14:textId="77777777" w:rsidR="003E10CC" w:rsidRDefault="003E10C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  <w:p w14:paraId="2D53DE02" w14:textId="77777777" w:rsidR="003E10CC" w:rsidRDefault="003E10C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  <w:p w14:paraId="0578AC0D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016D207B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odmienności ustrojów państw demokratycznych i totalitarnych;</w:t>
            </w:r>
          </w:p>
          <w:p w14:paraId="5283B32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relację państwo–obywatel w systemach totalitarnych;</w:t>
            </w:r>
          </w:p>
          <w:p w14:paraId="217D8A6F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omawia, w jaki sposób ideologie totalitarne odnoszą się do koncepcji dobra wspólnego 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bonum commune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i jak je definiują</w:t>
            </w:r>
          </w:p>
          <w:p w14:paraId="6834956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</w:rPr>
            </w:pPr>
          </w:p>
        </w:tc>
        <w:tc>
          <w:tcPr>
            <w:tcW w:w="2608" w:type="dxa"/>
          </w:tcPr>
          <w:p w14:paraId="4454321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relacje społeczne w różnych państwach, wykorzystując wiedzę o różnicach między demokracją i totalitaryzmem;</w:t>
            </w:r>
          </w:p>
          <w:p w14:paraId="6D1158A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rolę, jaką w kształtowaniu się totalitaryzmów pierwszej połowy XX w. odegrały idee nacjonalizmu i szowinizmu lub internacjonalizmu</w:t>
            </w:r>
          </w:p>
          <w:p w14:paraId="4D827AB2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</w:rPr>
            </w:pPr>
          </w:p>
        </w:tc>
      </w:tr>
      <w:tr w:rsidR="003E10CC" w14:paraId="6B15322A" w14:textId="77777777">
        <w:trPr>
          <w:trHeight w:val="397"/>
        </w:trPr>
        <w:tc>
          <w:tcPr>
            <w:tcW w:w="14834" w:type="dxa"/>
            <w:gridSpan w:val="6"/>
            <w:shd w:val="clear" w:color="auto" w:fill="8DB3E2"/>
            <w:vAlign w:val="center"/>
          </w:tcPr>
          <w:p w14:paraId="0E0B85B5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</w:rPr>
              <w:t>II. Św</w:t>
            </w:r>
            <w:r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</w:rPr>
              <w:t>iat i Polska w latach 1945–1956</w:t>
            </w:r>
          </w:p>
        </w:tc>
      </w:tr>
      <w:tr w:rsidR="003E10CC" w14:paraId="24313312" w14:textId="77777777">
        <w:trPr>
          <w:trHeight w:val="397"/>
        </w:trPr>
        <w:tc>
          <w:tcPr>
            <w:tcW w:w="1784" w:type="dxa"/>
          </w:tcPr>
          <w:p w14:paraId="2732650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8. Podstawy nowego porządku Europy i świata po II wojnie światowej</w:t>
            </w:r>
          </w:p>
        </w:tc>
        <w:tc>
          <w:tcPr>
            <w:tcW w:w="2611" w:type="dxa"/>
          </w:tcPr>
          <w:p w14:paraId="535B7DD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postanowienia konferencji wielkiej trójki;</w:t>
            </w:r>
          </w:p>
          <w:p w14:paraId="77F84E7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cele dziania ONZ na podstawie preambuły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Karty Narodów Zjednoczonych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(tekst w podręczniku);</w:t>
            </w:r>
          </w:p>
          <w:p w14:paraId="0BE71A8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koalicja antyhitlerowska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konferencje wielkiej trójki</w:t>
            </w:r>
          </w:p>
        </w:tc>
        <w:tc>
          <w:tcPr>
            <w:tcW w:w="2611" w:type="dxa"/>
          </w:tcPr>
          <w:p w14:paraId="3BF0704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jakie motywy swego działania deklarowali sygnatariusze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Karty atlantyckiej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jaką wizję powojennego świata prezentował ten dokument;</w:t>
            </w:r>
          </w:p>
          <w:p w14:paraId="1210FE9C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dzieli cele działania ONZ na nas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tępujące kategorie: stosunki i bezpieczeństwo międzynarodowe, kwestie społeczne, kwestie gospodarcze (na podstawie preambuły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Karty Narodów Zjednoczonych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tekst w podręczniku);</w:t>
            </w:r>
          </w:p>
          <w:p w14:paraId="310468D6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sowiecka strefa wpływów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Karta atlantycka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Deklaracja Narodów Zjednoczonych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Organizacja Narodów Zjednoczonych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ONZ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1369C22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9" w:type="dxa"/>
          </w:tcPr>
          <w:p w14:paraId="7710754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wydarzenia historyczne, do których odwołuje się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Karta Narodów Zjednoczonych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(tekst w podręczniku);</w:t>
            </w:r>
          </w:p>
          <w:p w14:paraId="4D701616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Karta Narodów Zjednoczonych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Rada Bezpieczeń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stwa ONZ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organizacje wyspecjalizowane ONZ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00C160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strukturę ONZ (główne organy i wybrane organizacje wyspecjalizowane)</w:t>
            </w:r>
          </w:p>
          <w:p w14:paraId="4AB68BD9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1" w:type="dxa"/>
          </w:tcPr>
          <w:p w14:paraId="581FD43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cele misji pokojowych ONZ, odwołuje się do przykładów;</w:t>
            </w:r>
          </w:p>
          <w:p w14:paraId="581DB17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mocne i słabe strony funkcjonowania ONZ;</w:t>
            </w:r>
          </w:p>
          <w:p w14:paraId="062D76B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dz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iałania Polski w ramach ONZ, wskazuje konkretne inicjatywy;</w:t>
            </w:r>
          </w:p>
          <w:p w14:paraId="192F766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brak przedstawiciela polskiego rządu i flagi na konferencji założycielskiej ONZ, mimo że Polska jest uznawana za jeden z krajów założycielskich (członków pierwotnych) tej organizacji</w:t>
            </w:r>
          </w:p>
        </w:tc>
        <w:tc>
          <w:tcPr>
            <w:tcW w:w="2608" w:type="dxa"/>
          </w:tcPr>
          <w:p w14:paraId="4CDE7BA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ocenia, czy ustalenia wielkiej trójki opierały się na koncepcji dobra wspólnego czy na racji stanu mocarstw;</w:t>
            </w:r>
          </w:p>
          <w:p w14:paraId="0E398F0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samodzielnie szuka informacji i odpowiada na pytanie, w jaki sposób Polak, Artur Rubinstein, symbolicznie zaakcentował obecność Polski na konfere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ncji założycielskiej ONZ;</w:t>
            </w:r>
          </w:p>
          <w:p w14:paraId="5130DA9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przygotowuje prezentację na temat działalności wybranej organizacji wyspecjalizowanej ONZ</w:t>
            </w:r>
          </w:p>
          <w:p w14:paraId="5A3E543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E10CC" w14:paraId="1FB93BD5" w14:textId="77777777">
        <w:trPr>
          <w:trHeight w:val="397"/>
        </w:trPr>
        <w:tc>
          <w:tcPr>
            <w:tcW w:w="1784" w:type="dxa"/>
          </w:tcPr>
          <w:p w14:paraId="0E810DC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9. Zakończenie II wojny światowej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br/>
              <w:t>oraz jej społeczne i prawne dziedzictwo</w:t>
            </w:r>
          </w:p>
        </w:tc>
        <w:tc>
          <w:tcPr>
            <w:tcW w:w="2611" w:type="dxa"/>
          </w:tcPr>
          <w:p w14:paraId="07F9AB9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wojna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wypowiedzenie wojny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rozejm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zawieszenie broni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kapitulacja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0395B3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wymienia przykłady dziedzictwa społecznego i prawnego II wojny światowej (np. zniszczenia zabudowy, zmiany na mapach politycznych, ludobójstwo, straty kulturowe itp.)</w:t>
            </w:r>
          </w:p>
        </w:tc>
        <w:tc>
          <w:tcPr>
            <w:tcW w:w="2611" w:type="dxa"/>
          </w:tcPr>
          <w:p w14:paraId="036DE54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elementy składające się na społeczne dziedzic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two II wojny światowej;</w:t>
            </w:r>
          </w:p>
          <w:p w14:paraId="2A020F3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który sąd / trybunał jako pierwszy zastosował prawną konstrukcję zbrodni przeciwko ludzkości;</w:t>
            </w:r>
          </w:p>
          <w:p w14:paraId="2C0E87D3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wojna totalna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pokój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traktat pokojowy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rozejm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zawieszenie broni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bezwarunkowa kapitulacja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deportacja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czystka etniczna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zbrodnia przeciwko ludzkości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genocide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ludobójstwo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zbrodnie wojenne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zniszczenia wojenne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straty wojenne</w:t>
            </w:r>
          </w:p>
          <w:p w14:paraId="447D7122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09" w:type="dxa"/>
          </w:tcPr>
          <w:p w14:paraId="1B6A0A2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dziedzictwo II wojny światowej w wymiarze: politycznym, prawnym, społecznym, ekonomicznym i kulturowym, odw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ołuje się do konkretnych przykładów;</w:t>
            </w:r>
          </w:p>
          <w:p w14:paraId="4E13799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postać Rafała Lemkina – prawnika, który zdefiniował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genocide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C2C7B6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różnice między terminami prawnymi: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zbrodnia przeciwko ludzkości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zbrodnia wojenna</w:t>
            </w:r>
          </w:p>
          <w:p w14:paraId="31863D2A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E5309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448559B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wybranych przykładach charakteryzuje konsekw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encje polityczne, społeczne, ekonomiczne i kulturowe II wojny światowej;</w:t>
            </w:r>
          </w:p>
          <w:p w14:paraId="4ACF5A9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decyzje podjęte przez zwycięskie mocarstwa w stosunku do pokonanych Niemiec, posługuje się konkretnymi przykładami działań (m.in. reparacje, procesy zbrodniarzy nazis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towskich)</w:t>
            </w:r>
          </w:p>
        </w:tc>
        <w:tc>
          <w:tcPr>
            <w:tcW w:w="2608" w:type="dxa"/>
          </w:tcPr>
          <w:p w14:paraId="0FD2DA3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analizuje i ocenia wpływ II wojny światowej na powojenne społeczeństwo polskie;</w:t>
            </w:r>
          </w:p>
          <w:p w14:paraId="2709A8B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 decyzje podjęte przez zwycięskie mocarstwa w stosunku do pokonanych Niemiec, posługuje się konkretnymi przykładami działań (m.in. reparacje, procesy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zbrodniarzy nazistowskich);</w:t>
            </w:r>
          </w:p>
          <w:p w14:paraId="389AA50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znajduje informacje o współczesnych przykładach odzyskiwania dzieł kultury zagrabionych w czasie II wojny światowej</w:t>
            </w:r>
          </w:p>
        </w:tc>
      </w:tr>
      <w:tr w:rsidR="003E10CC" w14:paraId="47A58730" w14:textId="77777777">
        <w:trPr>
          <w:trHeight w:val="397"/>
        </w:trPr>
        <w:tc>
          <w:tcPr>
            <w:tcW w:w="1784" w:type="dxa"/>
          </w:tcPr>
          <w:p w14:paraId="203928C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10. Powstanie bloku wschodniego</w:t>
            </w:r>
          </w:p>
        </w:tc>
        <w:tc>
          <w:tcPr>
            <w:tcW w:w="2611" w:type="dxa"/>
          </w:tcPr>
          <w:p w14:paraId="4BDD4DC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państwa bloku wschodniego;</w:t>
            </w:r>
          </w:p>
          <w:p w14:paraId="03FE9B93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genezę i znaczenie pojęcia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ż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elazna kurtyna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9A311AB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zna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pojęcie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blok wschodni;</w:t>
            </w:r>
          </w:p>
          <w:p w14:paraId="5FE9C0F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kierunki migracji ludności polskiej po II wojnie światowej</w:t>
            </w:r>
          </w:p>
          <w:p w14:paraId="259C702A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14:paraId="7D87CA1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powojenne migracje w Europie Środkowo-Wschodniej;</w:t>
            </w:r>
          </w:p>
          <w:p w14:paraId="5D6064C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przedstawia zmiany struktury narodowościowej Polski w konsekwencji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II wojny światowej oraz powojennych przesunięć granic i migracji;</w:t>
            </w:r>
          </w:p>
          <w:p w14:paraId="560684A6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zna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repatriacja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reemigracja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finlandyzacja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sowietyzacja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Kominform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Rada Wzajemnej Pomocy Gospodarczej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RWPG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taktyka salami, Apel sztokholmski</w:t>
            </w:r>
          </w:p>
        </w:tc>
        <w:tc>
          <w:tcPr>
            <w:tcW w:w="2609" w:type="dxa"/>
          </w:tcPr>
          <w:p w14:paraId="531BBF2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 xml:space="preserve">• prezentuje metody 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i etapy zniewalania państw Europy Środkowo-Wschodniej przez ZSRS</w:t>
            </w:r>
          </w:p>
          <w:p w14:paraId="6A8115C1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752C7E1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na przykładach proces sowietyzacji Europy Środkowo-Wschodniej;</w:t>
            </w:r>
          </w:p>
          <w:p w14:paraId="46EEA85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analizuje zmiany w składzie narodowościowym polskiego społeczeństwa po II wojnie światowej, wskazuje przyczyny i sku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tki</w:t>
            </w:r>
          </w:p>
          <w:p w14:paraId="4CBD56B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B58CE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4DEAE6D0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ocenia rolę Kominformu i RWPG w procesie konsolidacji bloku wschodniego</w:t>
            </w:r>
          </w:p>
        </w:tc>
      </w:tr>
      <w:tr w:rsidR="003E10CC" w14:paraId="7C78A968" w14:textId="77777777">
        <w:trPr>
          <w:trHeight w:val="397"/>
        </w:trPr>
        <w:tc>
          <w:tcPr>
            <w:tcW w:w="1784" w:type="dxa"/>
          </w:tcPr>
          <w:p w14:paraId="34401D2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11. Ustanowienie władzy komunistycznej w Polsce</w:t>
            </w:r>
          </w:p>
        </w:tc>
        <w:tc>
          <w:tcPr>
            <w:tcW w:w="2611" w:type="dxa"/>
          </w:tcPr>
          <w:p w14:paraId="1AABE79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linia Curzona, Manifest PKWN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FDF838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potrafi rozwinąć skróty: PSL (Polskie Stronnictwo Ludowe), PRL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(Polska Rzeczpospolita Ludowa), KRN (Krajowa Rada Narodowa), PKWN (Polski Komitet Wyzwolenia Narodowego), TRJN (Tymczasowy Rząd Jedności Narodowej), PPR (Polska Partia Robotnicza), PZPR (Polska Zjednoczona Partia Robotnicza), MBP (Ministerstwo Bezpieczeńst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 Publicznego), UB (Urząd Bezpieczeństwa), MO (Milicja Obywatelska), KBW (Korpus Bezpieczeństwa Wewnętrznego);</w:t>
            </w:r>
          </w:p>
          <w:p w14:paraId="4CC6F5A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były wymienione postacie, i omawia ich historyczną rolę: Bolesław Bierut, Władysław Gomułka</w:t>
            </w:r>
          </w:p>
        </w:tc>
        <w:tc>
          <w:tcPr>
            <w:tcW w:w="2611" w:type="dxa"/>
          </w:tcPr>
          <w:p w14:paraId="07CA759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 i omawia rolę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Konstytucji PRL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1952 r. jako narzędzia sowietyzacji Polski;</w:t>
            </w:r>
          </w:p>
          <w:p w14:paraId="7D0EC42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mit założycielski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proces szesnastu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referendum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tzw. referendum ludowe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demokracja ludowa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A86F364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wie, kim były wymienione postacie, i omawia ich historyczną rolę: Leopold Okulicki, Kazimie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 Pużak, Jan Jankowski</w:t>
            </w:r>
          </w:p>
          <w:p w14:paraId="66340F3A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76392458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okupacja przez przedstawiciela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przykładzie modelu kontroli Polski Ludowej przez Związek Sowiecki;</w:t>
            </w:r>
          </w:p>
          <w:p w14:paraId="093442F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prezentuje politykę polskich ośrodków władzy w kraju i na emigracji po II wojnie światowej;</w:t>
            </w:r>
          </w:p>
          <w:p w14:paraId="34FA1FC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wyjaśnia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nowomowa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AA2D10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>potrafi rozwinąć skróty i omówić znaczenie organów władzy, partii lub służb: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KRN (Krajowa Rada Narodowa), PKWN (Polski Komitet Wyzwolenia Narodowego), TRJN (Tymczasowy Rząd Jedności Narodowej), PPR (Polska Partia Robotnicza), PZPR (Polska Zjednoczona Partia Robotnicza), MBP (Ministerstwo Bezpieczeństwa Publicznego), UB (Urząd Bezp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ieczeństwa), MO (Milicja Obywatelska), KBW (Korpus Bezpieczeństwa Wewnętrznego);</w:t>
            </w:r>
          </w:p>
          <w:p w14:paraId="533A571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były wymienione postacie, i omawia ich historyczną rolę: Konstanty Rokossowski, Stanisław Mikołajczyk</w:t>
            </w:r>
          </w:p>
        </w:tc>
        <w:tc>
          <w:tcPr>
            <w:tcW w:w="2611" w:type="dxa"/>
          </w:tcPr>
          <w:p w14:paraId="002C84F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omawia, z wykorzystaniem swojej wiedzy o państwie i jego atr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ybutach, problem niepodległości Polski oraz sytuację polskiej państwowości po 1945 r.;</w:t>
            </w:r>
          </w:p>
          <w:p w14:paraId="46F6EA7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wpływ systemu totalitarnego (terror, propaganda, gospodarka planowa, rządy monopartyjne) na jednostkę;</w:t>
            </w:r>
          </w:p>
          <w:p w14:paraId="098E1AE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Konstytucję PRL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1952 r., jej określeni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 suwerena („lud pracujący”), a także jej charakter propagandowy i fasadowość w stosunku do realnych rządów PZPR</w:t>
            </w:r>
          </w:p>
          <w:p w14:paraId="2BA9A8F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C4D2CB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67D78A4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na konkretnych przykładach z historii powojennej Polski udowadnia, że „demokracja ludowa” była w istocie zaprzeczeniem demokracji;</w:t>
            </w:r>
          </w:p>
          <w:p w14:paraId="52E02858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odwołu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jąc się do poszczególnych atrybutów państwa, ocenia, czy PRL można uznać za państwo w rozumieniu definicji Jellinka oraz konwencji z Montevideo (na podstawie treści tematu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Państwo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w podręczniku)</w:t>
            </w:r>
          </w:p>
        </w:tc>
      </w:tr>
      <w:tr w:rsidR="003E10CC" w14:paraId="529A7AD3" w14:textId="77777777">
        <w:trPr>
          <w:trHeight w:val="397"/>
        </w:trPr>
        <w:tc>
          <w:tcPr>
            <w:tcW w:w="1784" w:type="dxa"/>
          </w:tcPr>
          <w:p w14:paraId="3C07FB2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12. Druga okupacja sowiecka w Polsce – legalna opozycja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i opór zbrojny</w:t>
            </w:r>
          </w:p>
        </w:tc>
        <w:tc>
          <w:tcPr>
            <w:tcW w:w="2611" w:type="dxa"/>
          </w:tcPr>
          <w:p w14:paraId="193A270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formy oporu społeczeństwa polskiego wobec sowietyzacji państwa, w tym walkę zbrojną i legalną opozycję polityczną;</w:t>
            </w:r>
          </w:p>
          <w:p w14:paraId="66F85C6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bezpieka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zbrojne podziemie antykomunistyczne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niepodległościowe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Żołnierze Niezłomni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yklęci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0FD0CD1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66E1995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formy oporu polskiego społeczeństwa wobec sowietyzacji państwa;</w:t>
            </w:r>
          </w:p>
          <w:p w14:paraId="77C5BD7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omawia działania Żołnierzy Niezłomnych, m.in. rtm. Witolda Pileckiego, ppłk. Łukasz Cieplińskiego, Danuty Siedzikówny „Inki”;</w:t>
            </w:r>
          </w:p>
          <w:p w14:paraId="78030E1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druga okupacja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sowiecka</w:t>
            </w:r>
          </w:p>
          <w:p w14:paraId="283FA215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potrafi rozwinąć skróty lub kryptonimy: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NIE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organizacja „Niepodległość”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DSZ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Delegatura Sił Zbrojnych na Kraj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„WiN”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Zrzeszenie „Wolność i Niezawisłość”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NZW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Narodowy Związek Wojskowy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9" w:type="dxa"/>
          </w:tcPr>
          <w:p w14:paraId="2C39B58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 kontekstach powstańczej walki Żołnierzy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Niezłomnych (rtm. Witold Pilecki, ppłk Łukasz Ciepliński, Danuta Siedzikówna „Inka”) omawia przykłady wierności zasadom i męstwa różnych postaci wobec prześladowców</w:t>
            </w:r>
          </w:p>
          <w:p w14:paraId="3CF4E058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194F589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przykładach wskazuje zakres działań Żołnierzy Niezłomnych</w:t>
            </w:r>
          </w:p>
          <w:p w14:paraId="1405D99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3F7A508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• przygotowuje materiał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poświęcony wybranemu Żołnierzowi Wyklętemu i w wybranej przez siebie formie prezentuje materiał podczas lekcji;</w:t>
            </w:r>
          </w:p>
          <w:p w14:paraId="5270F60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przygotowuje scenariusz działań związanych z Dniem Pamięci o Żołnierzach Wyklętych (może zaproponować np. włączenie się w obchody państwowe lu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b / i w oficjalne obchody organizowane lokalnie, spotkania ze świadkami historii, słuchanie piosenek upamiętniających Żołnierzy Wyklętych, projekcję filmu i dyskusję)</w:t>
            </w:r>
          </w:p>
        </w:tc>
      </w:tr>
      <w:tr w:rsidR="003E10CC" w14:paraId="5A69A542" w14:textId="77777777">
        <w:trPr>
          <w:trHeight w:val="397"/>
        </w:trPr>
        <w:tc>
          <w:tcPr>
            <w:tcW w:w="1784" w:type="dxa"/>
          </w:tcPr>
          <w:p w14:paraId="0B66D12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13. Powojenna odbudowa Europy Zachodniej i kwestia niemiecka</w:t>
            </w:r>
          </w:p>
        </w:tc>
        <w:tc>
          <w:tcPr>
            <w:tcW w:w="2611" w:type="dxa"/>
          </w:tcPr>
          <w:p w14:paraId="0272E9F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państwa, które 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zyskały swoje strefy okupacyjne w powojennych Niemczech i w Berlinie;</w:t>
            </w:r>
          </w:p>
          <w:p w14:paraId="0D856013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zasady określane wspólnym mianem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0C3821C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potrafi rozwinąć skróty: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NRD (Niemiecka Republika Demokratyczna), RFN (Republika Federalna Niemiec)</w:t>
            </w:r>
          </w:p>
        </w:tc>
        <w:tc>
          <w:tcPr>
            <w:tcW w:w="2611" w:type="dxa"/>
          </w:tcPr>
          <w:p w14:paraId="7763486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główne założenia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społecznej gospodarki rynkowej, która legła u podstaw niemieckiego „cudu gospodarczego”;</w:t>
            </w:r>
          </w:p>
          <w:p w14:paraId="36DDAEA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4D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denazyfikacja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demilitaryzacja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dekartelizacja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demonopolizacja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demokratyzacja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Bizonia, Trizonia, plan Marshalla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Europejski Program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Odbudowy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niemiecki „cud gospodarczy”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blokada Berlina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Organizacja Europejskiej Współpracy Gospodarczej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OEEC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14:paraId="7180F8E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były wymienione postacie, i omawia ich historyczną rolę: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George Marshall, Konrad Adenauer</w:t>
            </w:r>
          </w:p>
        </w:tc>
        <w:tc>
          <w:tcPr>
            <w:tcW w:w="2609" w:type="dxa"/>
          </w:tcPr>
          <w:p w14:paraId="7BD8B7E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planu Marshalla;</w:t>
            </w:r>
          </w:p>
          <w:p w14:paraId="44136BE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yjaśnia, czym był „cud gospodarczy” w RFN;</w:t>
            </w:r>
          </w:p>
          <w:p w14:paraId="381EB70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proces kształtowania się dwóch państw niemieckich;</w:t>
            </w:r>
          </w:p>
          <w:p w14:paraId="0D5FB5E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chrześcijańska demokracja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chadecja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społeczna gospodarka rynkowa;</w:t>
            </w:r>
          </w:p>
          <w:p w14:paraId="2BD1064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Ludwig Erhard i omawia jego historyczną rolę</w:t>
            </w:r>
          </w:p>
          <w:p w14:paraId="0CEB8D18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909262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1C4C8A1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stosuje swoją wiedzę o związkach państw i pokrewieństwie narodów do charakterystyki początków integracji europejskiej na polu gospodarczym i politycznym, ze wskazaniem jej głównych powodów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politycznych (obawa przed ekspansją sowiecką, przygotowanie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się na odbiór amerykańskiej pomocy w ramach planu Marshalla);</w:t>
            </w:r>
          </w:p>
          <w:p w14:paraId="3F59D7E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• po analizie artykułu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Rząd polski na polecenie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władz sowieckich odrzucił propozycję udziału w Planie Marshalla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autorstwa Pawła Cichockiego (tekst w podręczniku) odpowiada na pytanie, jakie mogł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yby być skutki przystąpienia Polski do planu Marshalla;</w:t>
            </w:r>
          </w:p>
          <w:p w14:paraId="74BC094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dlaczego Stalin nie zgodził się na udział ZSRS i innych krajów bloku wschodniego w planie Marshalla, wskazuje dwie przyczyny</w:t>
            </w:r>
          </w:p>
        </w:tc>
        <w:tc>
          <w:tcPr>
            <w:tcW w:w="2608" w:type="dxa"/>
          </w:tcPr>
          <w:p w14:paraId="6CBC3B7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podstawie samodzielnie zebranych informacji analizuje wpły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planu Marshalla na rozprzestrzenianie się amerykańskich wzorców kulturowych w Europie Zachodniej;</w:t>
            </w:r>
          </w:p>
          <w:p w14:paraId="0C41FBE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dlaczego ideologia chrześcijańskiej demokracji stała w zdecydowanej opozycji wobec ustrojów totalitarnych, w odpowiedzi odwołuje się do trzech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ybranych założeń ideowych chadecji</w:t>
            </w:r>
          </w:p>
        </w:tc>
      </w:tr>
      <w:tr w:rsidR="003E10CC" w14:paraId="5E3A235E" w14:textId="77777777">
        <w:trPr>
          <w:trHeight w:val="397"/>
        </w:trPr>
        <w:tc>
          <w:tcPr>
            <w:tcW w:w="1784" w:type="dxa"/>
          </w:tcPr>
          <w:p w14:paraId="21F5B4B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14. Początki zimnej wojny</w:t>
            </w:r>
          </w:p>
        </w:tc>
        <w:tc>
          <w:tcPr>
            <w:tcW w:w="2611" w:type="dxa"/>
          </w:tcPr>
          <w:p w14:paraId="6A236F6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genezę i znaczenie pojęcia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zimna wojna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C74C95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cele powstania NATO i Układu Warszawskiego;</w:t>
            </w:r>
          </w:p>
          <w:p w14:paraId="575CADB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państwa członkowskie Układu Warszawskiego;</w:t>
            </w:r>
          </w:p>
          <w:p w14:paraId="1980948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nazywa różne aspekty zimnej wojny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(rywalizacja gospodarcza, wyścig zbrojeń, wojna zastępcza);</w:t>
            </w:r>
          </w:p>
          <w:p w14:paraId="74CFCDF8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supermocarstwo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państwo satelickie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wyścig zbrojeń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dwubiegunowy układ sił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Układ Warszawski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31DA0BF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potrafi rozwinąć skrót: NATO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North Atlantic Treaty Organization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ganizacja Traktatu Północnoatlantyckiego, Sojusz Północnoatlantycki)</w:t>
            </w:r>
          </w:p>
        </w:tc>
        <w:tc>
          <w:tcPr>
            <w:tcW w:w="2611" w:type="dxa"/>
          </w:tcPr>
          <w:p w14:paraId="02ACB0C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powstania NATO i Układu Warszawskiego;</w:t>
            </w:r>
          </w:p>
          <w:p w14:paraId="3605AF2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założenia doktryny Trumana;</w:t>
            </w:r>
          </w:p>
          <w:p w14:paraId="131C8F1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państwa satelickie ZSRS;</w:t>
            </w:r>
          </w:p>
          <w:p w14:paraId="49AA0068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doktryna Trumana, doktryna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polityka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powstrzymania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wojna zastępcza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9DE5F3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Kim Ir Sen, i omawia jego historyczną rolę</w:t>
            </w:r>
          </w:p>
          <w:p w14:paraId="02F774C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6A46FDA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znaczenie powstania NATO i Układu Warszawskiego dla Europy i świata;</w:t>
            </w:r>
          </w:p>
          <w:p w14:paraId="407E054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związek doktryny Trumana i polityki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(doktryny) powstrzymywania;</w:t>
            </w:r>
          </w:p>
          <w:p w14:paraId="3D9E41B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omawia proces kształtowania się dwóch państw koreańskich</w:t>
            </w:r>
          </w:p>
        </w:tc>
        <w:tc>
          <w:tcPr>
            <w:tcW w:w="2611" w:type="dxa"/>
          </w:tcPr>
          <w:p w14:paraId="7B4B4AF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opisuje wojnę koreańską jako ważny przejaw zimnowojennej konfrontacji mocarstw;</w:t>
            </w:r>
          </w:p>
          <w:p w14:paraId="1288B96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skutki konfrontacji mocarstw w Korei;</w:t>
            </w:r>
          </w:p>
          <w:p w14:paraId="223CA69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jak wyprodukowanie własnej broni atomowej przez Sowietów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wpłynęło na rywalizację USA–ZSRS</w:t>
            </w:r>
          </w:p>
        </w:tc>
        <w:tc>
          <w:tcPr>
            <w:tcW w:w="2608" w:type="dxa"/>
          </w:tcPr>
          <w:p w14:paraId="0BD0AFD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ocenia skuteczność działania ONZ (realizację jej podstawowych celów) w odniesieniu do wojny koreańskiej;</w:t>
            </w:r>
          </w:p>
          <w:p w14:paraId="5FF6F75D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analizuje zmiany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polityki Albanii wobec sojuszu państw bloku wschodniego (Układu Warszawskiego);</w:t>
            </w:r>
          </w:p>
          <w:p w14:paraId="207C9B5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• przedstawia i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ocenia dzisiejszą sytuację polityczną na Półwyspie Koreańskim jako następstwo zimnowojennej rywalizacji mocarstw;</w:t>
            </w:r>
          </w:p>
          <w:p w14:paraId="675FB89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na podstawie samodzielnie zebranych informacji przedstawia, w jaki sposób Sowieci weszli w posiadanie broni jądrowej</w:t>
            </w:r>
          </w:p>
        </w:tc>
      </w:tr>
      <w:tr w:rsidR="003E10CC" w14:paraId="29B93A31" w14:textId="77777777">
        <w:trPr>
          <w:trHeight w:val="397"/>
        </w:trPr>
        <w:tc>
          <w:tcPr>
            <w:tcW w:w="1784" w:type="dxa"/>
          </w:tcPr>
          <w:p w14:paraId="776BC02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15. Terror i przebudow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a gospodarki w Polsce w latach 1944–1956</w:t>
            </w:r>
          </w:p>
        </w:tc>
        <w:tc>
          <w:tcPr>
            <w:tcW w:w="2611" w:type="dxa"/>
          </w:tcPr>
          <w:p w14:paraId="7BB7DE2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kierunki migracji ludności polskiej po II wojnie światowej;</w:t>
            </w:r>
          </w:p>
          <w:p w14:paraId="57D16DEE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rozumie pojęcie „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wróg ludu”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8732A7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potrafi rozwinąć skrót PGR (Państwowe Gospodarstwo Rolne) i wyjaśnić znaczenie tego terminu;</w:t>
            </w:r>
          </w:p>
          <w:p w14:paraId="1531CDE3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reforma rolna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kolektywizacja rolnictwa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rolnicza spółdzielnia produkcyjna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centralne planowanie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reglamentacja towarów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kułak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współzawodnictwo pracy</w:t>
            </w:r>
          </w:p>
          <w:p w14:paraId="32B43417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3F19CA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7DCD468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omawia kierunki migracji ludności polskiej po II wojnie światowej;</w:t>
            </w:r>
          </w:p>
          <w:p w14:paraId="4716A0D3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kogo w Polsce Ludowej władze uważały za „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wrogów ludu”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A24901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wyjaśnia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warstwa społeczna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podaje przykłady warstw społecznych, które można wyróżnić w odniesieniu do różnych epok historycznych;</w:t>
            </w:r>
          </w:p>
          <w:p w14:paraId="77B8F9E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 przedstawia przyczyny reformy rolnej i kolektywizacji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rolnictwa w Polsce w latach 40. XX w.;</w:t>
            </w:r>
          </w:p>
          <w:p w14:paraId="0E58FA0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na czym polegała wprowadzona przez komunistyczne władze gospodarka planowa;</w:t>
            </w:r>
          </w:p>
          <w:p w14:paraId="067D8F6E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Obława Augustowska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nacjonalizacja przemysłu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industrializacja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bitwa o handel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warstwa społeczna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stac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hanowiec</w:t>
            </w:r>
          </w:p>
          <w:p w14:paraId="19F4261C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66CE06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70FA8B7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charakteryzuje zmiany, jakie zaszły w strukturze społeczeństwa polskiego po II wojnie światowej;</w:t>
            </w:r>
          </w:p>
          <w:p w14:paraId="56C4C1B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postawy i zachowania, które mogły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kwalifikować człowieka do kategorii „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wrogów ludu”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548B54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nazywa warstwy społeczne, które w Polsce Ludo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wej były z założenia traktowane przez władze jako wrogie;</w:t>
            </w:r>
          </w:p>
          <w:p w14:paraId="615FC4F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społeczne i gospodarcze następstwa industrializacji prowadzonej przez komunistyczne władze Polski w latach 40. i 50. XX w.;</w:t>
            </w:r>
          </w:p>
          <w:p w14:paraId="321496A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przyczyny i konsekwencje reformy rolnej 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kolektywizacji rolnictwa w Polsce w latach 40. i 50. XX w.;</w:t>
            </w:r>
          </w:p>
          <w:p w14:paraId="5AE3FA0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na przykładach powojenną odbudowę kraju oraz procesy urbanizacji i industrializacji</w:t>
            </w:r>
          </w:p>
        </w:tc>
        <w:tc>
          <w:tcPr>
            <w:tcW w:w="2611" w:type="dxa"/>
          </w:tcPr>
          <w:p w14:paraId="76FBC05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charakteryzuje warstwy społeczne, które były w Polsce Ludowej z założenia traktowane przez wł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adze jako wrogie i podaje powody tej wrogości;</w:t>
            </w:r>
          </w:p>
          <w:p w14:paraId="330E0B9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 społeczne i gospodarcze skutki industrializacji prowadzonej przez komunistyczne władze polskie w latach 40. i 50. XX w. (wskazuje pozytywne i negatywne następstwa)</w:t>
            </w:r>
          </w:p>
          <w:p w14:paraId="3CDE843B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3F839B0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>• wyjaśnia, jakie były przyczyny op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oru polskich chłopów wobec kolektywizacji rolnictwa (w uzasadnieniu bierze pod uwagę m.in. wcześniejsze zmiany w rolnictwie);</w:t>
            </w:r>
          </w:p>
          <w:p w14:paraId="36DE71D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lastRenderedPageBreak/>
              <w:t>• analizuje i ocenia Obławę Augustowską jako zbrodnię przeciwko ludzkości;</w:t>
            </w:r>
          </w:p>
          <w:p w14:paraId="0EC153D1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uzasadnia, dlaczego Obławę Augustowską określa się mi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anem </w:t>
            </w:r>
            <w:r>
              <w:rPr>
                <w:rFonts w:ascii="Times New Roman" w:eastAsia="Calibri" w:hAnsi="Times New Roman" w:cs="Calibri"/>
                <w:bCs/>
                <w:i/>
                <w:iCs/>
                <w:sz w:val="20"/>
                <w:szCs w:val="20"/>
              </w:rPr>
              <w:t>małego Katynia</w:t>
            </w:r>
          </w:p>
        </w:tc>
      </w:tr>
      <w:tr w:rsidR="003E10CC" w14:paraId="11BA4E46" w14:textId="77777777">
        <w:trPr>
          <w:trHeight w:val="397"/>
        </w:trPr>
        <w:tc>
          <w:tcPr>
            <w:tcW w:w="1784" w:type="dxa"/>
          </w:tcPr>
          <w:p w14:paraId="41FA254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lastRenderedPageBreak/>
              <w:t>16. Polska w latach 1944–1956 – życie społeczne</w:t>
            </w:r>
          </w:p>
        </w:tc>
        <w:tc>
          <w:tcPr>
            <w:tcW w:w="2611" w:type="dxa"/>
          </w:tcPr>
          <w:p w14:paraId="347590A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nazywa formy działania komunistycznych władz mające na celu stworzenie „nowego społeczeństwa”;</w:t>
            </w:r>
          </w:p>
          <w:p w14:paraId="1D3A36E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cel powstania Głównego Urzędu Kontroli Prasy, Publikacji i Widowisk;</w:t>
            </w:r>
          </w:p>
          <w:p w14:paraId="5D59CBAE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cenzura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Główny Urząd Kontroli Prasy, Publikacji i Widowisk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Ziemie Zachodnie i Północne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tzw. Ziemie Odzyskane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szabrownicy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8E7CB2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zadania cenzury w Polsce Ludowej;</w:t>
            </w:r>
          </w:p>
          <w:p w14:paraId="4F692AB9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rozwinąć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skróty: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ZHP (Związek Harcerstwa Polskiego), Z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MP (Związek Młodzieży Polskiej), OH ZMP (Organizacja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Harcerska ZMP)</w:t>
            </w:r>
          </w:p>
        </w:tc>
        <w:tc>
          <w:tcPr>
            <w:tcW w:w="2611" w:type="dxa"/>
          </w:tcPr>
          <w:p w14:paraId="1098E4B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formy działania komunistycznych władz mające na celu stworzenie „nowego społeczeństwa” (propaganda, indoktrynacja);</w:t>
            </w:r>
          </w:p>
          <w:p w14:paraId="548AC400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omawia cele organizacji młodzieżowych (ZHP, ZMP, OH ZMP);</w:t>
            </w:r>
          </w:p>
          <w:p w14:paraId="6A8E227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yjaśnia, jak funkcjonowała cenzura w powojennej Polsce i jakie były cele jej działania;</w:t>
            </w:r>
          </w:p>
          <w:p w14:paraId="69CC3F3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cechy twórczości reprezentującej nurt socrealizmu;</w:t>
            </w:r>
          </w:p>
          <w:p w14:paraId="5BA1E59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propaganda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indoktrynacja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socrealizm</w:t>
            </w:r>
          </w:p>
          <w:p w14:paraId="6CF2A08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330676B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 konkretnych przykładach przedstawia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działania komunistycznych władz mające na celu stworzenia „nowego społeczeństwa”;</w:t>
            </w:r>
          </w:p>
          <w:p w14:paraId="1A048879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działania organizacji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młodzieżowych (ZHP, ZMP, OH ZMP);</w:t>
            </w:r>
          </w:p>
          <w:p w14:paraId="3AF43C7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formy indoktrynacji stosowane w zakładach pracy;</w:t>
            </w:r>
          </w:p>
          <w:p w14:paraId="46C03EA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 przykładach przedstawia formy indoktrynacji 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systemie edukacji;</w:t>
            </w:r>
          </w:p>
          <w:p w14:paraId="58315B7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podaje przykłady dzieł twórców zaangażowanych w socrealizm (architektura, literatura);</w:t>
            </w:r>
          </w:p>
          <w:p w14:paraId="788E142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nazywa różne postawy twórców wobec narzucanego wzorca socrealistycznego;</w:t>
            </w:r>
          </w:p>
          <w:p w14:paraId="7DA72F8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problemy społeczne i gospodarcze, które wiązały się z włącz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eniem do Polski Ziem Zachodnich i Północnych;</w:t>
            </w:r>
          </w:p>
          <w:p w14:paraId="11D6F323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omawia próby tworzenia tajnych organizacji młodzieżowych przeciwstawiających</w:t>
            </w:r>
            <w:r>
              <w:rPr>
                <w:rFonts w:ascii="Times New Roman" w:eastAsia="Calibri" w:hAnsi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się komunistycznej indoktrynacji</w:t>
            </w:r>
          </w:p>
          <w:p w14:paraId="7E3A35E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1A32642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system indoktrynacji, za pomocą którego komunistyczne władze starały się kształtować mło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dych obywateli;</w:t>
            </w:r>
          </w:p>
          <w:p w14:paraId="1A396E4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skutki działań indoktrynacyjnych władz Polski Ludowej w sferze edukacji;</w:t>
            </w:r>
          </w:p>
          <w:p w14:paraId="28499861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 działania organizacji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młodzieżowych (ZMP, OH ZMP) w procesie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tworzenia „nowego społeczeństwa”;</w:t>
            </w:r>
          </w:p>
          <w:p w14:paraId="2A67864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przykładach omawia sztukę socrealistyczną jako 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rzędzie propagandy komunistycznych władz Polski;</w:t>
            </w:r>
          </w:p>
          <w:p w14:paraId="609603E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postawy ludzi kultury wobec narzuconego wzorca socrealizmu (podaje przykłady twórców z różnych dziedzin kultury)</w:t>
            </w:r>
          </w:p>
          <w:p w14:paraId="762015F8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47F7CA9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przypomina sobie historię poszczególnych obszarów wchodzących w skład tzw. Ziem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Odzyskanych i ocenia zasadność stosowania takiej nazwy po 1945 r. (w uzasadnieniu odwołuje się do argumentów historycznych);</w:t>
            </w:r>
          </w:p>
          <w:p w14:paraId="08251599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porównuje</w:t>
            </w: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system wartości wpajany młodzieży w czasach Polski Ludowej z wartościami przekazywanymi współczesnej młodzieży w III Rz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eczypospolitej</w:t>
            </w:r>
          </w:p>
        </w:tc>
      </w:tr>
      <w:tr w:rsidR="003E10CC" w14:paraId="525B0BAB" w14:textId="77777777">
        <w:trPr>
          <w:trHeight w:val="397"/>
        </w:trPr>
        <w:tc>
          <w:tcPr>
            <w:tcW w:w="1784" w:type="dxa"/>
          </w:tcPr>
          <w:p w14:paraId="3359960B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pacing w:val="-4"/>
                <w:sz w:val="20"/>
                <w:szCs w:val="20"/>
              </w:rPr>
              <w:t>17. Prześladowania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religijne w bloku wschodnim</w:t>
            </w:r>
          </w:p>
        </w:tc>
        <w:tc>
          <w:tcPr>
            <w:tcW w:w="2611" w:type="dxa"/>
          </w:tcPr>
          <w:p w14:paraId="0EDDE9D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nazywa sposoby walki reżimu PRL z Kościołem katolickim (aresztowanie i uwięzienie prymasa Wyszyńskiego, polityka rozdziału Kościoła od państwa, odgórna laicyzacja itd.);</w:t>
            </w:r>
          </w:p>
          <w:p w14:paraId="72604EF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formy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represji stosowane przez komunistyczne władze wobec Kościoła katolickiego w państwach bloku wschodniego;</w:t>
            </w:r>
          </w:p>
          <w:p w14:paraId="73C16716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: ateizacja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Kościół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Stolica Apostolska</w:t>
            </w:r>
          </w:p>
        </w:tc>
        <w:tc>
          <w:tcPr>
            <w:tcW w:w="2611" w:type="dxa"/>
          </w:tcPr>
          <w:p w14:paraId="5D9CBAC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stosunek bolszewików do religii;</w:t>
            </w:r>
          </w:p>
          <w:p w14:paraId="60B6C4B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sposoby walki władz Polski Ludowe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 z Kościołem katolickim (aresztowanie i uwięzienie prymasa Wyszyńskiego, polityka rozdziału Kościoła od państwa, odgórna  laicyzacja itd.);</w:t>
            </w:r>
          </w:p>
          <w:p w14:paraId="5EA507C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problemy, przed którymi stanął Kościół katolicki w Polsce w związku z powojennymi zmianami granic i prze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siedleniami ludności;</w:t>
            </w:r>
          </w:p>
          <w:p w14:paraId="7C27533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prymas Stefan Wyszyński, omawia jego historyczną rolę;</w:t>
            </w:r>
          </w:p>
          <w:p w14:paraId="0BAFAE7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: związek wyznaniowy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6DC3A92B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3DD67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0D58CF2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przyczyny walki z religią w ZSRS;</w:t>
            </w:r>
          </w:p>
          <w:p w14:paraId="230EADD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działania komunistów mające na celu pozyskanie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Kościół dla polityki władz Polski Ludowej;</w:t>
            </w:r>
          </w:p>
          <w:p w14:paraId="052F887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były wymienione postacie, i omawia ich historyczną rolę: prymas József Mindszenty, bp Antoni Baraniak, bp Czesław Kaczmarek;</w:t>
            </w:r>
          </w:p>
          <w:p w14:paraId="0B940186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proces kurii krakowskiej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„księża patrioci”</w:t>
            </w:r>
          </w:p>
          <w:p w14:paraId="480B2A8D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6F6C37E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dstawia ideologiczne uzasadnienie walki władz państw komunistycznych z religią;</w:t>
            </w:r>
          </w:p>
          <w:p w14:paraId="25A9096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formy walki z religią w komunistycznych państwach Europy Środkowej i Wschodniej;</w:t>
            </w:r>
          </w:p>
          <w:p w14:paraId="60DAC40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stosunek władz komunistycznych w Polsce do Kościoła katolickiego;</w:t>
            </w:r>
          </w:p>
          <w:p w14:paraId="43A02ECB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 postawę prymasa Stefana Wyszyńskiego 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Non possumus!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internowanie w latach 1953–1956) jako przykład wierności zasadom i męstwa wobec prześladowców;</w:t>
            </w:r>
          </w:p>
          <w:p w14:paraId="732FF63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dlaczego władze komunistyczne przywiązywały dużą wagę do walki z wpływami Kościołów w sfe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 szkolnictwa i wychowania młodzieży</w:t>
            </w:r>
          </w:p>
        </w:tc>
        <w:tc>
          <w:tcPr>
            <w:tcW w:w="2608" w:type="dxa"/>
          </w:tcPr>
          <w:p w14:paraId="1204847B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analizuje i ocenia działania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władz komunistycznych zmierzające do osłabienia zależności lokalnych Kościołów katolickich od Stolicy Apostolskiej</w:t>
            </w:r>
          </w:p>
        </w:tc>
      </w:tr>
      <w:tr w:rsidR="003E10CC" w14:paraId="36A1D56A" w14:textId="77777777">
        <w:trPr>
          <w:trHeight w:val="397"/>
        </w:trPr>
        <w:tc>
          <w:tcPr>
            <w:tcW w:w="1784" w:type="dxa"/>
          </w:tcPr>
          <w:p w14:paraId="09DB86A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18. Azja po II wojnie światowej</w:t>
            </w:r>
          </w:p>
        </w:tc>
        <w:tc>
          <w:tcPr>
            <w:tcW w:w="2611" w:type="dxa"/>
          </w:tcPr>
          <w:p w14:paraId="45CA4F5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cel powstania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Międzynarodowego Trybunału Wojskowego dla Dalekiego Wschodu;</w:t>
            </w:r>
          </w:p>
          <w:p w14:paraId="7D53D60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kto powołał Międzynarodowy Trybunał Wojskowy dla Dalekiego Wschodu;</w:t>
            </w:r>
          </w:p>
          <w:p w14:paraId="14461D8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podstawowe zasady syjonizmu;</w:t>
            </w:r>
          </w:p>
          <w:p w14:paraId="60E6FE2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wielki skok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bierny opór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8B04C80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wie, kim były wymienione 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ostacie, i omawia ich historyczną rolę: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Mahatma Gandhi, Mao Zedong</w:t>
            </w:r>
          </w:p>
        </w:tc>
        <w:tc>
          <w:tcPr>
            <w:tcW w:w="2611" w:type="dxa"/>
          </w:tcPr>
          <w:p w14:paraId="3E737E6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przemiany, które zaszły w Japonii po II wojnie światowej (w tym podpisanie traktatu pokojowego z USA i przyjęcie Japonii do ONZ);</w:t>
            </w:r>
          </w:p>
          <w:p w14:paraId="6FC5F0B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proces przejęcia władzy w Chinach przez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komunistów;</w:t>
            </w:r>
          </w:p>
          <w:p w14:paraId="17B0838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podstawowe zasady syjonizmu;</w:t>
            </w:r>
          </w:p>
          <w:p w14:paraId="69B1E2C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genezę państwa Izrael;</w:t>
            </w:r>
          </w:p>
          <w:p w14:paraId="6855A9E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genezę i zasady islamizmu;</w:t>
            </w:r>
          </w:p>
          <w:p w14:paraId="396328C8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demilitaryzacja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decentralizacja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Międzynarodowy Trybunał Wojskowy dla Dalekiego Wschodu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syjonizm, isla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konflikt bliskowschodni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dekolonizacja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C2046C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Chiang Kai-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-shek, i omawia jego historyczną rolę</w:t>
            </w:r>
          </w:p>
          <w:p w14:paraId="6D488DD2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9" w:type="dxa"/>
          </w:tcPr>
          <w:p w14:paraId="1375945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rządy Mao Zedonga (zwraca szczególną uwagę na zbrodnie ludobójstwa, prześladowania religijne);</w:t>
            </w:r>
          </w:p>
          <w:p w14:paraId="20C8D2E8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charakteryzuje odmienność gosp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odarczo-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br/>
              <w:t>-polityczną Bliskiego i Dalekiego Wschodu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34FC71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główne etapy procesu dekolonizacji</w:t>
            </w:r>
          </w:p>
          <w:p w14:paraId="369517F8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C5466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7B2BD2C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ocenia znaczenie przyjęcia Japonii do ONZ w 1956 r.;</w:t>
            </w:r>
          </w:p>
          <w:p w14:paraId="5B42474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wewnętrzne i międzynarodowe konsekwencje przejęcia władzy w Chinach przez komunistów;</w:t>
            </w:r>
          </w:p>
          <w:p w14:paraId="18B55C1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znaczenie powstania państwa Izrael dla sytuacji na Bliskim Wschodzie i polityki międzynarodowej;</w:t>
            </w:r>
          </w:p>
          <w:p w14:paraId="009B9EE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konsekwencje procesu dekolonizacji</w:t>
            </w:r>
          </w:p>
          <w:p w14:paraId="6D2BB9A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417DAB7C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289070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6839CABD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239B6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0CFFED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C31492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04F8E6F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główne czynniki determinujące współczesną historię: Japonii, Chin, Indii, Pakist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anu oraz Izraela;</w:t>
            </w:r>
          </w:p>
          <w:p w14:paraId="5BC1D8A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ocenia rolę Mahatmy Gandhiego w procesie dekolonizacji Indii</w:t>
            </w:r>
          </w:p>
        </w:tc>
      </w:tr>
      <w:tr w:rsidR="003E10CC" w14:paraId="005C8CAF" w14:textId="77777777">
        <w:trPr>
          <w:trHeight w:val="397"/>
        </w:trPr>
        <w:tc>
          <w:tcPr>
            <w:tcW w:w="14834" w:type="dxa"/>
            <w:gridSpan w:val="6"/>
            <w:shd w:val="clear" w:color="auto" w:fill="8DB3E2"/>
            <w:vAlign w:val="center"/>
          </w:tcPr>
          <w:p w14:paraId="79850D4F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III. 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Świat i Polska w latach 1956–1970</w:t>
            </w:r>
          </w:p>
        </w:tc>
      </w:tr>
      <w:tr w:rsidR="003E10CC" w14:paraId="7BB1982F" w14:textId="77777777">
        <w:trPr>
          <w:trHeight w:val="397"/>
        </w:trPr>
        <w:tc>
          <w:tcPr>
            <w:tcW w:w="1784" w:type="dxa"/>
          </w:tcPr>
          <w:p w14:paraId="798DC82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19.</w:t>
            </w:r>
            <w:bookmarkStart w:id="2" w:name="_Hlk104380704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Destalinizacja w bloku wschodni</w:t>
            </w:r>
            <w:bookmarkEnd w:id="2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11" w:type="dxa"/>
          </w:tcPr>
          <w:p w14:paraId="4F444AF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przejawy odwilży w polityce ZSRS po śmierci Józefa Stalina;</w:t>
            </w:r>
          </w:p>
          <w:p w14:paraId="09FC18C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• wie, kto przejął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władzę w ZSRS po śmierci Józefa Stalina;</w:t>
            </w:r>
          </w:p>
          <w:p w14:paraId="274F7598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wymienia przyczyny wystąpień w 1953 r. w Pilźnie;</w:t>
            </w:r>
          </w:p>
          <w:p w14:paraId="2E5EFFE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sz w:val="20"/>
                <w:szCs w:val="20"/>
              </w:rPr>
              <w:lastRenderedPageBreak/>
              <w:t>• wymienia przyczyny wystąpień w 1953 r. w Berlinie (NRD);</w:t>
            </w:r>
          </w:p>
          <w:p w14:paraId="0D8BA61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destalinizacja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odwilż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tajny referat Chruszczowa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kult jednostki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16FBF8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wie, kim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był Nikita Chruszczow, i omawia jego historyczną rolę;</w:t>
            </w:r>
          </w:p>
          <w:p w14:paraId="7712C16E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potrafi rozwinąć skróty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MSW (Ministerstwo Spraw Wewnętrznych), SB (Służba Bezpieczeństwa)</w:t>
            </w:r>
          </w:p>
        </w:tc>
        <w:tc>
          <w:tcPr>
            <w:tcW w:w="2611" w:type="dxa"/>
          </w:tcPr>
          <w:p w14:paraId="259385AF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entSchbookEU"/>
                <w:color w:val="000000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przestawia reakcje na śmierć Stalina w krajach bloku wschodniego;</w:t>
            </w:r>
          </w:p>
          <w:p w14:paraId="277C53A2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proces destalinizacji w 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loku wschodnim;</w:t>
            </w:r>
          </w:p>
          <w:p w14:paraId="67A1252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przebieg wystąpień w Pilźnie w 1953 r.;</w:t>
            </w:r>
          </w:p>
          <w:p w14:paraId="2C1AFE9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przebieg wydarzeń w Berlinie (NRD) w 1953 r.;</w:t>
            </w:r>
          </w:p>
          <w:p w14:paraId="22A5D44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Radio Wolna Europa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RWE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powstanie czerwcowe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berlińskie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9" w:type="dxa"/>
          </w:tcPr>
          <w:p w14:paraId="4ECC7C95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charakteryzuje opór społeczeństw Europy Środkowej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wobec komunizmu na przykładzie wystąpień i powstań antykomunistycznych w Pilźnie i w Berlinie (1953 r.);</w:t>
            </w:r>
          </w:p>
          <w:p w14:paraId="15D43819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rolę RWE w procesie zmian zachodzących w PRL w połowie lat 50. XX w.;</w:t>
            </w:r>
          </w:p>
          <w:p w14:paraId="0978D401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potrafi krytycznie przeanalizować tajny referat Chruszczowa</w:t>
            </w:r>
          </w:p>
        </w:tc>
        <w:tc>
          <w:tcPr>
            <w:tcW w:w="2611" w:type="dxa"/>
          </w:tcPr>
          <w:p w14:paraId="7B69D153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charakt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eryzuje proces destalinizacji i wskazuje jego ograniczenia (na podstawie głównych tez tajnego referatu Chruszczowa z 1956 r.);</w:t>
            </w:r>
          </w:p>
          <w:p w14:paraId="25904860" w14:textId="77777777" w:rsidR="003E10CC" w:rsidRDefault="001D70F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skutki tajnego referatu Chruszczowa dla państw bloku wschodniego;</w:t>
            </w:r>
          </w:p>
          <w:p w14:paraId="2B35620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wie, kim był Józef Światło, i omawia jego historyczn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ą rolę</w:t>
            </w:r>
          </w:p>
          <w:p w14:paraId="39FE16CF" w14:textId="77777777" w:rsidR="003E10CC" w:rsidRDefault="003E10CC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</w:rPr>
            </w:pPr>
          </w:p>
          <w:p w14:paraId="63BDD77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</w:rPr>
            </w:pPr>
          </w:p>
        </w:tc>
        <w:tc>
          <w:tcPr>
            <w:tcW w:w="2608" w:type="dxa"/>
          </w:tcPr>
          <w:p w14:paraId="0500E3E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analizuje i ocenia wpływ procesu destalinizacji na obywateli państw bloku wschodniego;</w:t>
            </w:r>
          </w:p>
          <w:p w14:paraId="0E32DFD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 rolę ucieczki Józefa Światły oraz audycji RWE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Za kulisami bezpieki i partii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procesu destalinizacji w Polsce;</w:t>
            </w:r>
          </w:p>
          <w:p w14:paraId="50C12DC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 xml:space="preserve">• przygotowuje prezentację na temat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roli, jaką odegrały RWE i inne polskojęzyczne radiostacje działające na Zachodzie w kształtowaniu poglądów i postaw Polaków w okresie PRL</w:t>
            </w:r>
          </w:p>
          <w:p w14:paraId="1E06888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</w:rPr>
            </w:pPr>
          </w:p>
        </w:tc>
      </w:tr>
      <w:tr w:rsidR="003E10CC" w14:paraId="506510C9" w14:textId="77777777">
        <w:trPr>
          <w:trHeight w:val="397"/>
        </w:trPr>
        <w:tc>
          <w:tcPr>
            <w:tcW w:w="1784" w:type="dxa"/>
          </w:tcPr>
          <w:p w14:paraId="672832C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lastRenderedPageBreak/>
              <w:t>20.</w:t>
            </w:r>
            <w:bookmarkStart w:id="3" w:name="_Hlk104380742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Rok 1956 </w:t>
            </w:r>
            <w:bookmarkEnd w:id="3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w Polsce i na Węgrzech</w:t>
            </w:r>
          </w:p>
        </w:tc>
        <w:tc>
          <w:tcPr>
            <w:tcW w:w="2611" w:type="dxa"/>
          </w:tcPr>
          <w:p w14:paraId="0C3168F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przyczyny wystąpień społecznych w 1956 r. w Polsce;</w:t>
            </w:r>
          </w:p>
          <w:p w14:paraId="5E95AA8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przeja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 popaździernikowej odwilży w Polsce;</w:t>
            </w:r>
          </w:p>
          <w:p w14:paraId="2EBC8145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Insurekcja Poznańska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Powstanie Poznańskie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Poznański Czerwiec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puławianie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natolińczycy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Polski Październik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odwilż popaździernikowa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powstanie węgierskie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0B807B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wie, kim były wymienione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postacie, i omawia ich historyczną rolę: Józef Cyrankiewicz, Władysław Gomułka, Imre Nagy</w:t>
            </w:r>
          </w:p>
        </w:tc>
        <w:tc>
          <w:tcPr>
            <w:tcW w:w="2611" w:type="dxa"/>
          </w:tcPr>
          <w:p w14:paraId="7F0BB9A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na czym polegał przełom 1956 r. w Polsce i wskazuje jego najważniejsze etapy (Poznański Czerwiec, powrót Gomułki do władzy);</w:t>
            </w:r>
          </w:p>
          <w:p w14:paraId="7FDF6B1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pols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ka droga do socjalizmu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91CC07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János Kádár, i omawia jego historyczną rolę</w:t>
            </w:r>
          </w:p>
        </w:tc>
        <w:tc>
          <w:tcPr>
            <w:tcW w:w="2609" w:type="dxa"/>
          </w:tcPr>
          <w:p w14:paraId="1F0FED4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nastroje i nadzieje polskiego społeczeństwa w 1956 r.;</w:t>
            </w:r>
          </w:p>
          <w:p w14:paraId="410F373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przyczyny i przebieg wydarzeń w Pilźnie i Berlinie w 1953 r. oraz w Poznaniu i na Węgrzech w 1956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r.;</w:t>
            </w:r>
          </w:p>
          <w:p w14:paraId="7FC5A16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„socjalizm z ludzką twarzą”, głosowanie bez skreśleń</w:t>
            </w:r>
          </w:p>
        </w:tc>
        <w:tc>
          <w:tcPr>
            <w:tcW w:w="2611" w:type="dxa"/>
          </w:tcPr>
          <w:p w14:paraId="5BCCD7C2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sz w:val="20"/>
                <w:szCs w:val="20"/>
              </w:rPr>
              <w:softHyphen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skutki wydarzeń w Pilźnie i Berlinie w 1953 r. oraz w Poznaniu i na Węgrzech w 1956 r.;</w:t>
            </w:r>
          </w:p>
          <w:p w14:paraId="5C7E1F4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ocenia znaczenie śmierci Bolesława Bieruta oraz wyboru Władysława Gomułki na I sekretarza PZPR dla przemian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Polsce</w:t>
            </w:r>
          </w:p>
          <w:p w14:paraId="6D8356B6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8" w:type="dxa"/>
          </w:tcPr>
          <w:p w14:paraId="62A2757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analizuje przyczyny decyzji Władysława Gomułki o uwolnieniu i powrocie do Warszawy prymasa Stefana Wyszyńskiego, ocenia znaczenie tego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faktu;</w:t>
            </w:r>
          </w:p>
          <w:p w14:paraId="0D81E92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analizuje procedurę tzw. głosowania bez skreśleń i uzasadnia, że było ono narzędziem manipulacji władz Polski Ludowej;</w:t>
            </w:r>
          </w:p>
          <w:p w14:paraId="4BD9F4C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ocenia, czy powstanie węgierskie z 1956 r. można określić mianem rewolucji</w:t>
            </w:r>
          </w:p>
          <w:p w14:paraId="039042F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0CC" w14:paraId="489E2A0B" w14:textId="77777777">
        <w:trPr>
          <w:trHeight w:val="397"/>
        </w:trPr>
        <w:tc>
          <w:tcPr>
            <w:tcW w:w="1784" w:type="dxa"/>
          </w:tcPr>
          <w:p w14:paraId="5041C4D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21. Konfrontacja millenijna – państwo i Kościół w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Polsce na przełomie lat 50. i 60. XX w.</w:t>
            </w:r>
          </w:p>
        </w:tc>
        <w:tc>
          <w:tcPr>
            <w:tcW w:w="2611" w:type="dxa"/>
          </w:tcPr>
          <w:p w14:paraId="0628389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trzy działania władz PRL stanowiące reakcję na obchody milenijne organizowane przez Kościół katolicki w Polsce;</w:t>
            </w:r>
          </w:p>
          <w:p w14:paraId="500F578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w treści listu biskupów polskich do biskupów niemieckich fragmenty, które mogły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być wykorzystywane do atakowania polskich biskupów (tekst zamieszczony w podręczniku);</w:t>
            </w:r>
          </w:p>
          <w:p w14:paraId="779D1CF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Milenium Chrztu Polski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Tysiąclecie Państwa Polskiego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16C606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prymas Stefan Wyszyński, i omawia jego historyczną rolę</w:t>
            </w:r>
          </w:p>
        </w:tc>
        <w:tc>
          <w:tcPr>
            <w:tcW w:w="2611" w:type="dxa"/>
          </w:tcPr>
          <w:p w14:paraId="15BA5BC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na 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ym polegał przełom 1956 r. w Polsce,</w:t>
            </w:r>
          </w:p>
          <w:p w14:paraId="2960BD4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 jego najważniejsze etapy, zwraca uwagę na Jasnogórskie Śluby Narodu i uwolnienie prymasa Stefana Wyszyńskiego;</w:t>
            </w:r>
          </w:p>
          <w:p w14:paraId="7F497B7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stanowisko polskich biskupów w sprawie granicy polsko-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-niemieckiej na podstawie anal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izy fragmentu listu biskupów polskich do biskupów niemieckich (tekst w podręczniku);</w:t>
            </w:r>
          </w:p>
          <w:p w14:paraId="41138DE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etapy konfrontacji pomiędzy komunistyczną władzą a Kościołem katolickim w okresie przygotowań do obchodów Milenium Chrztu Polski;</w:t>
            </w:r>
          </w:p>
          <w:p w14:paraId="2637BDF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Jasn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ogórskie Śluby Narodu Polskiego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Wielka Nowenna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Milenium Chrztu Polski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Tysiąclecie Państwa Polskiego, list biskupów polskich do biskupów niemieckich, konflikt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konfrontacja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milenijna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37EBD6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abp Karol Wojtyła, i omawia jego historyczną rolę</w:t>
            </w:r>
          </w:p>
        </w:tc>
        <w:tc>
          <w:tcPr>
            <w:tcW w:w="2609" w:type="dxa"/>
          </w:tcPr>
          <w:p w14:paraId="70345BF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arakteryzuje sposoby walki reżimu PRL z Kościołem w latach 60.;</w:t>
            </w:r>
          </w:p>
          <w:p w14:paraId="23B8631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znaczenie listu biskupów polskich do biskupów niemieckich;</w:t>
            </w:r>
          </w:p>
          <w:p w14:paraId="73BDBC05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akcja dekrucyfikacyjna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peregrynacja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0E3102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inwigilacja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Koło Poselskie „Znak”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Klub Inteligencji Katolickiej</w:t>
            </w:r>
          </w:p>
        </w:tc>
        <w:tc>
          <w:tcPr>
            <w:tcW w:w="2611" w:type="dxa"/>
          </w:tcPr>
          <w:p w14:paraId="31EF068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rolę Kościoła katolickiego w historii państwa polskiego w latach 50. i 60. XX w.;</w:t>
            </w:r>
          </w:p>
          <w:p w14:paraId="39DA2D8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ideowo-moralne duszpasterskiego programu prymasa Stefana Wyszyńskiego (Jasnogórskie Śluby Narodu, Wielka Nowenna,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obchody milenijne);</w:t>
            </w:r>
          </w:p>
          <w:p w14:paraId="02116EA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konfrontacji pomiędzy komunistyczną władzą a Kościołem katolickim w okresie przygotowań do obchodów Milenium Chrztu Polski i Tysiąclecia Państwa Polskiego;</w:t>
            </w:r>
          </w:p>
          <w:p w14:paraId="71CE077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ocenia, znaczenie peregrynacji kopii obrazu Matki Boskie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 Częstochowskiej po kraju dla polskiego społeczeństwa i komunistycznych władz</w:t>
            </w:r>
          </w:p>
        </w:tc>
        <w:tc>
          <w:tcPr>
            <w:tcW w:w="2608" w:type="dxa"/>
          </w:tcPr>
          <w:p w14:paraId="0801D03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wyjaśnia nawiązania Jasnogórskich Ślubów Narodu Polskiego do złożonych 300 lat wcześniej ślubów lwowskich Jana Kazimierza</w:t>
            </w:r>
          </w:p>
        </w:tc>
      </w:tr>
      <w:tr w:rsidR="003E10CC" w14:paraId="331B6F6A" w14:textId="77777777">
        <w:trPr>
          <w:trHeight w:val="397"/>
        </w:trPr>
        <w:tc>
          <w:tcPr>
            <w:tcW w:w="1784" w:type="dxa"/>
          </w:tcPr>
          <w:p w14:paraId="76BFD43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22. Świat w okresie zimnowojennej rywalizacji lat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50. i 60. XX w.</w:t>
            </w:r>
          </w:p>
        </w:tc>
        <w:tc>
          <w:tcPr>
            <w:tcW w:w="2611" w:type="dxa"/>
          </w:tcPr>
          <w:p w14:paraId="383C40B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państwa, które dysponowały w 1945 r. największymi posiadłościami kolonialnymi na obszarach Afryki i Azji;</w:t>
            </w:r>
          </w:p>
          <w:p w14:paraId="7A8C132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który rok jest nazywany rokiem Afryki (1960 r.);</w:t>
            </w:r>
          </w:p>
          <w:p w14:paraId="6AC8D65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supermocarstwa, które odgrywały główne role w zimnowojen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nych zmaganiach;</w:t>
            </w:r>
          </w:p>
          <w:p w14:paraId="35D32FD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symbolikę muru berlińskiego;</w:t>
            </w:r>
          </w:p>
          <w:p w14:paraId="01DFA83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pojęcie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Vietcong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C45470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potrafi rozwinąć skrót: DRW (Demokratyczna Republika Wietnamu)</w:t>
            </w:r>
          </w:p>
        </w:tc>
        <w:tc>
          <w:tcPr>
            <w:tcW w:w="2611" w:type="dxa"/>
          </w:tcPr>
          <w:p w14:paraId="08C1E95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główne przyczyny dekolonizacji Azji i Afryki po II wojnie światowej;</w:t>
            </w:r>
          </w:p>
          <w:p w14:paraId="1220FE9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laczego rok 1960 został nazwany rokiem Afryki;</w:t>
            </w:r>
          </w:p>
          <w:p w14:paraId="16D33D0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główne pola konfrontacji zimnowojennej lat 50. i 60. XX w.;</w:t>
            </w:r>
          </w:p>
          <w:p w14:paraId="40D9C19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: II kryzys berliński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kryzys kubański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CE380B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wie, kim były wymienione postacie, i omawia ich historyczną rolę: John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F. Kennedy, Fidel Castro, Charles de Gaulle, Ho Chi Minh</w:t>
            </w:r>
          </w:p>
          <w:p w14:paraId="3ECE9AD1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17161AC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przebieg II kryzysu berlińskiego;</w:t>
            </w:r>
          </w:p>
          <w:p w14:paraId="460DBF0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przebieg kryzysu kubańskiego;</w:t>
            </w:r>
          </w:p>
          <w:p w14:paraId="1867142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przebieg konfliktu w Indochinach;</w:t>
            </w:r>
          </w:p>
          <w:p w14:paraId="457C6851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wojna zastępcza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0BAD0F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samostanowienie narodów</w:t>
            </w:r>
          </w:p>
          <w:p w14:paraId="29EEFF3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C12A3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7D1590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2611" w:type="dxa"/>
          </w:tcPr>
          <w:p w14:paraId="62B0F4C6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omawia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główne konsekwencje dekolonizacji Azji i Afryki po II wojnie światowej;</w:t>
            </w:r>
          </w:p>
          <w:p w14:paraId="39AB4A5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• charakteryzuje II kryzys berliński jako pole zimnowojennej konfrontacji mocarstw;</w:t>
            </w:r>
          </w:p>
          <w:p w14:paraId="7B50A3F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charakteryzuje kryzys kubański jako pole zimnowojennej konfrontacji mocarstw;</w:t>
            </w:r>
          </w:p>
          <w:p w14:paraId="5FAFB7F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charaktery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zuje konflikt w Indochinach jako pole zimnowojennej konfrontacji mocarstw</w:t>
            </w:r>
          </w:p>
          <w:p w14:paraId="73323CA6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  <w:b/>
              </w:rPr>
            </w:pPr>
          </w:p>
        </w:tc>
        <w:tc>
          <w:tcPr>
            <w:tcW w:w="2608" w:type="dxa"/>
          </w:tcPr>
          <w:p w14:paraId="694DA10A" w14:textId="77777777" w:rsidR="003E10CC" w:rsidRDefault="001D7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analizuje i wyjaśnia słowa prezydenta USA Johna Kennedy’ego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„Wszyscy wolni ludzie, gdziekolwiek żyją, są obywatelami Berlina, i tym samym ja, jako wolny człowiek, z dumą mówię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»Jestem berlińczykiem«”;</w:t>
            </w:r>
          </w:p>
          <w:p w14:paraId="6227FCD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analizuje wojnę indochińską i wojnę o niepodległość Algierii oraz ocenia, czy miały charakter wojen zastępczych</w:t>
            </w:r>
          </w:p>
        </w:tc>
      </w:tr>
      <w:tr w:rsidR="003E10CC" w14:paraId="65A3977A" w14:textId="77777777">
        <w:trPr>
          <w:trHeight w:val="397"/>
        </w:trPr>
        <w:tc>
          <w:tcPr>
            <w:tcW w:w="1784" w:type="dxa"/>
          </w:tcPr>
          <w:p w14:paraId="3E8E0EE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23.Bliski Wschód i Chiny w latach 50. i 60. XX w.</w:t>
            </w:r>
          </w:p>
        </w:tc>
        <w:tc>
          <w:tcPr>
            <w:tcW w:w="2611" w:type="dxa"/>
          </w:tcPr>
          <w:p w14:paraId="6ADE5BC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na podstawie mapy zamieszczonej w podręczniku wskazuje obszary 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onfliktu bliskowschodniego;</w:t>
            </w:r>
          </w:p>
          <w:p w14:paraId="6F73D36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cel powstania OWP;</w:t>
            </w:r>
          </w:p>
          <w:p w14:paraId="49822F3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rewolucja kulturalna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(w Chinach);</w:t>
            </w:r>
          </w:p>
          <w:p w14:paraId="2259791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potrafi rozwinąć skrót: OWP (Organizacja Wyzwolenia Palestyny)</w:t>
            </w:r>
          </w:p>
          <w:p w14:paraId="5D873EB8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7E111B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6300B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7C203AE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główne etapy wojen na Bliskim Wschodzie w latach 50. i 60. XX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w.;</w:t>
            </w:r>
          </w:p>
          <w:p w14:paraId="7B7FE35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politykę przywódcy Egiptu Gamala Abdela Nasera;</w:t>
            </w:r>
          </w:p>
          <w:p w14:paraId="7441688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genezę problemu palestyńskiego;</w:t>
            </w:r>
          </w:p>
          <w:p w14:paraId="0C5400D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działania OWP na arenie międzynarodowej;</w:t>
            </w:r>
          </w:p>
          <w:p w14:paraId="0DB15DC6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konflikt sueski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konflikt nad Ussuri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rewolucja kulturalna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maoizm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8673FB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im były wymienione postacie, i omawia ich historyczną rolę: Gamal Abdel Naser, Jasir Arafat</w:t>
            </w:r>
          </w:p>
          <w:p w14:paraId="5C03E73B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CAB287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09" w:type="dxa"/>
          </w:tcPr>
          <w:p w14:paraId="272FB4B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główne etapy wojen na Bliskim Wschodzie w latach 50. i 60. XX w.;</w:t>
            </w:r>
          </w:p>
          <w:p w14:paraId="6C33C75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wojnę sueską;</w:t>
            </w:r>
          </w:p>
          <w:p w14:paraId="1974053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szczegółowo opisuje wojnę sześciodniową;</w:t>
            </w:r>
          </w:p>
          <w:p w14:paraId="12F7EA8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przyczy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 i przebieg konfrontacji chińsko-sowieckiej w latach 50. i 60 XX w.;</w:t>
            </w:r>
          </w:p>
          <w:p w14:paraId="4BEC88E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była chińska rewolucja kulturalna;</w:t>
            </w:r>
          </w:p>
          <w:p w14:paraId="4C4C82D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rządy Mao Zedonga (zwraca szczególną uwagę na zbrodnie ludobójstwa, prześladowania religijne, niszczenie dorobku kul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tury);</w:t>
            </w:r>
          </w:p>
          <w:p w14:paraId="2E44878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panarabizm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hunwejbini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60F8DC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Dalajlama XIV, i omawia jego historyczną rolę</w:t>
            </w:r>
          </w:p>
          <w:p w14:paraId="6DBEAEF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474AD88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skutki wojny sueskiej;</w:t>
            </w:r>
          </w:p>
          <w:p w14:paraId="1D617FB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skutki wojny sześciodniowej;</w:t>
            </w:r>
          </w:p>
          <w:p w14:paraId="406CA28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ocenia znaczenie uznania OWP przez Zgromadzenie Ogólne ONZ za pod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miot w relacjach międzynarodowych (1974 r.);</w:t>
            </w:r>
          </w:p>
          <w:p w14:paraId="22A4379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porównuje cele polityki Jasira Arafata i Gamala Abdela Nasera wobec Izraela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(na podstawie tekstów źródłowych zamieszczonych w podręczniku);</w:t>
            </w:r>
          </w:p>
          <w:p w14:paraId="10F4685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 ocenia skutki rewolucji kulturalnej w Chinach</w:t>
            </w:r>
          </w:p>
          <w:p w14:paraId="0B53304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2608" w:type="dxa"/>
          </w:tcPr>
          <w:p w14:paraId="116F5AB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analizuje wojny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izraelsko-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br/>
              <w:t>-arabskie z lat 50. i 60. jako element zimnowojennej konfrontacji między Wschodem i Zachodem oraz ocenia, czy miały cechy wojen zastępczych;</w:t>
            </w:r>
          </w:p>
          <w:p w14:paraId="77F74F2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ideologiczne uzasadnienie i konsekwencje rewolucji kulturalnej w Chinach</w:t>
            </w:r>
          </w:p>
        </w:tc>
      </w:tr>
      <w:tr w:rsidR="003E10CC" w14:paraId="113276AC" w14:textId="77777777">
        <w:trPr>
          <w:trHeight w:val="397"/>
        </w:trPr>
        <w:tc>
          <w:tcPr>
            <w:tcW w:w="1784" w:type="dxa"/>
          </w:tcPr>
          <w:p w14:paraId="4FF71223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24. </w:t>
            </w:r>
            <w:r>
              <w:rPr>
                <w:rFonts w:ascii="Times New Roman" w:eastAsia="Calibri" w:hAnsi="Times New Roman" w:cs="Calibri"/>
                <w:b/>
                <w:bCs/>
                <w:spacing w:val="-2"/>
                <w:sz w:val="20"/>
                <w:szCs w:val="20"/>
              </w:rPr>
              <w:t>Ku zjednoczo</w:t>
            </w:r>
            <w:r>
              <w:rPr>
                <w:rFonts w:ascii="Times New Roman" w:eastAsia="Calibri" w:hAnsi="Times New Roman" w:cs="Calibri"/>
                <w:b/>
                <w:bCs/>
                <w:spacing w:val="-2"/>
                <w:sz w:val="20"/>
                <w:szCs w:val="20"/>
              </w:rPr>
              <w:t>nej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Europie (Zachodniej)</w:t>
            </w:r>
          </w:p>
        </w:tc>
        <w:tc>
          <w:tcPr>
            <w:tcW w:w="2611" w:type="dxa"/>
          </w:tcPr>
          <w:p w14:paraId="547FBB5B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pojęcie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Rada Europy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3436873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wie, kim były wymienione postacie, i omawia ich historyczną rolę: Robert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Schuman, Jean Monnet, Paul-Henri Spaak, Konrad Adenauer;</w:t>
            </w:r>
          </w:p>
          <w:p w14:paraId="0C0AEE2E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 i potrafi rozwinąć skróty oraz omówić rolę organizacji: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EWWiS (Europejska Wspólnota Węgla i Stali), ETPC (Europejski Trybunał Praw Człowieka), EWG (Europejska Wspólnota Gospodarcza), Euratom (Europejska Wspólnota Energii Atomowej), RWPG (Rada Wzajemnej Pomocy Gospodarczej);</w:t>
            </w:r>
          </w:p>
          <w:p w14:paraId="1A600B7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trzy koncepcje integracji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europejskiej: federacyjną, konfederacyjną, funkcjonalistyczną;</w:t>
            </w:r>
          </w:p>
          <w:p w14:paraId="71A59DC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genezę oraz treść traktatów rzymskich z 1957 r.</w:t>
            </w:r>
          </w:p>
          <w:p w14:paraId="79A23C7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5FF7BB5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koncepcja federacyjna integracji europejskiej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koncepcja konfederacyjna integracji europejskiej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koncepcja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funkcjonalistyczna integracji europejskiej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Europa ojczyzn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Europa regionów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plan Schumana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traktaty rzymskie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Wspólnoty Europejskie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państwo opiekuńcze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państwo dobrobytu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społeczna gospodarka rynkowa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socjaldemokracja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Rada Europy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Wspólnoty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Europejskie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DD9CA8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treść traktatów rzymskich z 1957 r.;</w:t>
            </w:r>
          </w:p>
          <w:p w14:paraId="673C389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odwołując się do przykładów, omawia cele i metody działania EWG;</w:t>
            </w:r>
          </w:p>
          <w:p w14:paraId="0C531F7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najważniejsze założenia koncepcji państwa dobrobytu i społecznej gospodarki rynkowej;</w:t>
            </w:r>
          </w:p>
          <w:p w14:paraId="6BEAFDA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RWPG dla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gospodarki ZSRS i innych państw bloku wschodniego</w:t>
            </w:r>
          </w:p>
        </w:tc>
        <w:tc>
          <w:tcPr>
            <w:tcW w:w="2609" w:type="dxa"/>
          </w:tcPr>
          <w:p w14:paraId="3112FA2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porównuje trzy koncepcje integracji europejskiej, wskazuje podobieństwa i różnice;</w:t>
            </w:r>
          </w:p>
          <w:p w14:paraId="4014042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zwolenników / autorów poszczególnych koncepcji integracji europejskiej;</w:t>
            </w:r>
          </w:p>
          <w:p w14:paraId="5AEF754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i omawia zasady społecznej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gospodarki rynkowej oraz państwa dobrobytu na przykładzie państw zachodnich w latach 60. XX w.;</w:t>
            </w:r>
          </w:p>
          <w:p w14:paraId="2F71FD7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opisuje i wyjaśnia, jak doszło do integracji państw zachodniej Europy oraz jakie czynniki wpłynęły na decyzje ich przywódców;</w:t>
            </w:r>
          </w:p>
          <w:p w14:paraId="43161A5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omawia, w jaki sposób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integracja gospodarcza Europy Zachodniej wpłynęła na dobrobyt mieszkańców tego obszaru</w:t>
            </w:r>
          </w:p>
          <w:p w14:paraId="41FE7B50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CD8CD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A21491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FBB21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EB73F9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33CCCE9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 możliwe konsekwencje realizacji każdej z koncepcji integracji europejskiej;</w:t>
            </w:r>
          </w:p>
          <w:p w14:paraId="531EDE2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i porównuje sposób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życia społeczeństw w krajach Europy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Zacho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dniej i bloku wschodniego;</w:t>
            </w:r>
          </w:p>
          <w:p w14:paraId="623D9A2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najważniejsze założenia koncepcji państwa dobrobytu i społecznej gospodarki rynkowej;</w:t>
            </w:r>
          </w:p>
          <w:p w14:paraId="7050443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znaczenie integracji dla rozwoju Europy Zachodniej w latach 50. i 60. XX w.;</w:t>
            </w:r>
          </w:p>
          <w:p w14:paraId="52555DE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kulturowo-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-historyczne pods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tawy integracji europejskie;</w:t>
            </w:r>
          </w:p>
          <w:p w14:paraId="300026A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stosuje swoją wiedzę o związkach państw i pokrewieństwie narodów do charakterystyki początków integracji europejskiej na polu gospodarczym i politycznym, ze wskazaniem jej głównych powodów ideowych (chrześcijański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światopogląd „Ojców Założycieli”), kulturowych (bliskość narodów europejskich) oraz politycznych (obawa przed ekspansją sowiecką, rozwiązanie „problemu niemieckiego” przez integrację gospodarki RFN z innymi gospodarkami zachodnimi)</w:t>
            </w:r>
          </w:p>
        </w:tc>
        <w:tc>
          <w:tcPr>
            <w:tcW w:w="2608" w:type="dxa"/>
          </w:tcPr>
          <w:p w14:paraId="10D8D12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wyjaśnia, różnice międ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 koncepcją państwa opiekuńczego (wdrażaną przede wszystkim przez zachodnioeuropejską socjaldemokrację) a koncepcją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społecznej gospodarki rynkowej (realizowaną przez zachodnioniemieckich chadeków)</w:t>
            </w:r>
          </w:p>
          <w:p w14:paraId="68DCAD3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EF08D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</w:tr>
      <w:tr w:rsidR="003E10CC" w14:paraId="42F5EF6B" w14:textId="77777777">
        <w:trPr>
          <w:trHeight w:val="397"/>
        </w:trPr>
        <w:tc>
          <w:tcPr>
            <w:tcW w:w="1784" w:type="dxa"/>
          </w:tcPr>
          <w:p w14:paraId="57FF6D3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lastRenderedPageBreak/>
              <w:t xml:space="preserve">25. Zmiany społeczne i kulturowe na Zachodzie w latach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50. i 60. XX w.</w:t>
            </w:r>
          </w:p>
        </w:tc>
        <w:tc>
          <w:tcPr>
            <w:tcW w:w="2611" w:type="dxa"/>
          </w:tcPr>
          <w:p w14:paraId="7D0EA54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nośniki kultury masowej;</w:t>
            </w:r>
          </w:p>
          <w:p w14:paraId="35E8B3F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czynniki, które doprowadziły do</w:t>
            </w:r>
          </w:p>
          <w:p w14:paraId="3B4D1D1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powstania społeczeństwa konsumpcyjnego;</w:t>
            </w:r>
          </w:p>
          <w:p w14:paraId="1860E53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opisuje wygląd i styl życia przedstawiciela subkultury hipisowskiej;</w:t>
            </w:r>
          </w:p>
          <w:p w14:paraId="5845AF1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miejsca wystąpień studentów 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Zachodzie w 1968 r.;</w:t>
            </w:r>
          </w:p>
          <w:p w14:paraId="0459FB5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kontrkultura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pacyfizm</w:t>
            </w:r>
          </w:p>
          <w:p w14:paraId="0B0BFC1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D3D79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Arial"/>
                <w:b/>
              </w:rPr>
            </w:pPr>
          </w:p>
        </w:tc>
        <w:tc>
          <w:tcPr>
            <w:tcW w:w="2611" w:type="dxa"/>
          </w:tcPr>
          <w:p w14:paraId="0B03EEF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przyczyny powstania kultury masowej i kultury młodzieżowej;</w:t>
            </w:r>
          </w:p>
          <w:p w14:paraId="30F34B6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telewizji dla rozwoju kultury masowej;</w:t>
            </w:r>
          </w:p>
          <w:p w14:paraId="00A087D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stosunek ruchu hipisowskiego do państwa;</w:t>
            </w:r>
          </w:p>
          <w:p w14:paraId="2986DE6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ienia przyczyny wystąpień studenckich w 1968 r.;</w:t>
            </w:r>
          </w:p>
          <w:p w14:paraId="360FC75A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kultura masowa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komercjalizacja kultury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konsumpcja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kultura młodzieżowa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kontrkultura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rewolucja seksualna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ekologizm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feminizm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Maj 1968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Woodstock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hipisi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społeczeństwo konsumpcyjne</w:t>
            </w:r>
          </w:p>
        </w:tc>
        <w:tc>
          <w:tcPr>
            <w:tcW w:w="2609" w:type="dxa"/>
          </w:tcPr>
          <w:p w14:paraId="165F9F2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przyczyny powstania kultury masowej i kultury młodzieżowej,</w:t>
            </w:r>
          </w:p>
          <w:p w14:paraId="6D6A4A7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telewizji dla rozwoju kultury masowej,</w:t>
            </w:r>
          </w:p>
          <w:p w14:paraId="21B80EF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przemiany społeczno-obyczajowe określane jako „rewolucja 1968 r.”;</w:t>
            </w:r>
          </w:p>
          <w:p w14:paraId="2D22580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 idee pacyfistyczne i podaje przykłady ich oddziaływania na postawy ludzi i politykę państw;</w:t>
            </w:r>
          </w:p>
          <w:p w14:paraId="1997863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neomarksizm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nowa lewica</w:t>
            </w:r>
          </w:p>
        </w:tc>
        <w:tc>
          <w:tcPr>
            <w:tcW w:w="2611" w:type="dxa"/>
          </w:tcPr>
          <w:p w14:paraId="6503DF7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znaczenie ruchu hipisowskiego jako symbolu walki z powszechnie obowiązującymi normami życia społeczneg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o;</w:t>
            </w:r>
          </w:p>
          <w:p w14:paraId="60A1A88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ruchy pacyfistyczne;</w:t>
            </w:r>
          </w:p>
          <w:p w14:paraId="34CA64D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odwołując się do przykładów, omawia różnice między ekologią a ekologizmem;</w:t>
            </w:r>
          </w:p>
          <w:p w14:paraId="538C196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wystąpienia studenckie na Zachodzie Europy w 1968 r. i wskazuje wspólne elementy z wystąpieniami młodzieży w Stanach Zjednoczonyc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h;</w:t>
            </w:r>
          </w:p>
          <w:p w14:paraId="40B730D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protesty młodzieżowe i ich pacyfikację w Paryżu i Meksyku w 1968 r.;</w:t>
            </w:r>
          </w:p>
          <w:p w14:paraId="4ED9EA0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dlaczego część skrajnie lewicowych (lewackich) środowisk młodzieżowych podjęła działalność terrorystyczną</w:t>
            </w:r>
          </w:p>
        </w:tc>
        <w:tc>
          <w:tcPr>
            <w:tcW w:w="2608" w:type="dxa"/>
          </w:tcPr>
          <w:p w14:paraId="18F39EF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porównuje rewolucję kulturalną w Chinach z rewolucją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kulturalną na Zachodzie;</w:t>
            </w:r>
          </w:p>
          <w:p w14:paraId="5525C803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• przygotowuje zajęcia poświęcone kontrkulturze lub protestom przeciwko wojnie w Wietnamie (np. w ramach Dyskusyjnego Klubu Filmowego organizuje projekcję filmu Miloša Formana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Hair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a następnie prowadzi dyskusję nad reżyserską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wizją przedstawionych w dziele problemów);</w:t>
            </w:r>
          </w:p>
          <w:p w14:paraId="2576FEF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przygotowuje zajęcia poświęcone muzyce lat 60. XX w. (jest liderem dyskusji, prowadzi prezentację utworów, np. Jimiego Hendrixa, Janis Joplin, kieruje wspólną analizą tekstów piosenek)</w:t>
            </w:r>
          </w:p>
          <w:p w14:paraId="61204ECD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7BFF17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E10CC" w14:paraId="5B7D4D8B" w14:textId="77777777">
        <w:trPr>
          <w:trHeight w:val="397"/>
        </w:trPr>
        <w:tc>
          <w:tcPr>
            <w:tcW w:w="1784" w:type="dxa"/>
          </w:tcPr>
          <w:p w14:paraId="6FEEC27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26. Religia – Kościół –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państwo</w:t>
            </w:r>
          </w:p>
        </w:tc>
        <w:tc>
          <w:tcPr>
            <w:tcW w:w="2611" w:type="dxa"/>
          </w:tcPr>
          <w:p w14:paraId="35A682C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zna i nazywa różne modele relacji Kościołów i związków wyznaniowych z państwem;</w:t>
            </w:r>
          </w:p>
          <w:p w14:paraId="4FF4E82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zna główne postanowienia soboru watykańskiego II;</w:t>
            </w:r>
          </w:p>
          <w:p w14:paraId="017C3AA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cel utworzenia w Polsce Urzędu do spraw Wyznań (1950 r.);</w:t>
            </w:r>
          </w:p>
          <w:p w14:paraId="15E1E704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wskazuje w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Konstytucji PRL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z 1952 r. (tekst w podręczniku) zapisy dotyczący relacji państwo–Kościół;</w:t>
            </w:r>
          </w:p>
          <w:p w14:paraId="16684499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państwo ateistyczne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laicyzacja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sobór powszechny</w:t>
            </w:r>
          </w:p>
        </w:tc>
        <w:tc>
          <w:tcPr>
            <w:tcW w:w="2611" w:type="dxa"/>
          </w:tcPr>
          <w:p w14:paraId="391C4CC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podaje przykłady państw teokratycznych w różnych okresach historycznych: Egipt, Rzym, Tybet, Japonia, W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atykan, Iran;</w:t>
            </w:r>
          </w:p>
          <w:p w14:paraId="0DBA506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podaje przykłady państw, które współcześnie reprezentują model państwa wyznaniowego (np. Arabia Saudyjska, Mauretania, Iran, Izrael, Bhutan, Mjanma);</w:t>
            </w:r>
          </w:p>
          <w:p w14:paraId="3FABB3B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podaje przykłady państw, które współcześnie reprezentują model „przyjaznego rozdziału Ko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ścioła od państwa” (np. Austria, Chorwacja, Hiszpania, RFN, Polska, Słowacja, Włochy);</w:t>
            </w:r>
          </w:p>
          <w:p w14:paraId="39198E8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podaje przykłady państw, które współcześnie reprezentują model państwa laickiego (np. Albania, Holandia, USA, Francja);</w:t>
            </w:r>
          </w:p>
          <w:p w14:paraId="247E9DB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podaje przykłady współcześnie istniejących pa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ństw ateistycznych (np. reżimów komunistycznych w Korei Północnej, Wietnamie czy ChRL);</w:t>
            </w:r>
          </w:p>
          <w:p w14:paraId="2875AEA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przyczyny zwołania soboru watykańskiego II;</w:t>
            </w:r>
          </w:p>
          <w:p w14:paraId="45B929F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wymienia i omawia zjawiska społeczne, które stanowiły szczególne wyzwanie dla Kościoła katolickiego przed zw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ołaniem soboru watykańskiego II;</w:t>
            </w:r>
          </w:p>
          <w:p w14:paraId="6B8B832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nawiązując do lekcji o konfrontacji milenijnej, omawia prześladowania Kościoła katolickiego przez władze Polski Ludowej;</w:t>
            </w:r>
          </w:p>
          <w:p w14:paraId="62345A1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zasługi Kościoła katolickiego dla integracji Ziem Zachodnich i Północnych z resztą Polski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D722C02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państwo teokratyczne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państwo wyznaniowe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rozdział Kościoła od państwa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państwo świeckie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laickie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),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laicyzm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sekularyzm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ekumenizm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Urząd do spraw Wyznań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Departament IV MSW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„obywatel drugiej kategorii”</w:t>
            </w:r>
          </w:p>
        </w:tc>
        <w:tc>
          <w:tcPr>
            <w:tcW w:w="2609" w:type="dxa"/>
          </w:tcPr>
          <w:p w14:paraId="700F0CE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relacje państwo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–Kościół w państwie teokratycznym (formie państwa wyznaniowego);</w:t>
            </w:r>
          </w:p>
          <w:p w14:paraId="0C6F2BB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relacje państwo–Kościół w państwie wyznaniowym;</w:t>
            </w:r>
          </w:p>
          <w:p w14:paraId="1FED336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podaje przykłady współczesnych państw w Europie, które spełniają częściowo kryteria państwa wyznaniowego;</w:t>
            </w:r>
          </w:p>
          <w:p w14:paraId="69D985B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podaje przykłady wyznań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/ Kościołów, które mają status wyznania / Kościoła państwowego w dzisiejszej Europie: np. Malta, Monako (państwowym wyznaniem jest katolicyzm), Grecja i Cypr (państwowym wyznaniem jest prawosławie, a w przypadku Cypru – także islam);</w:t>
            </w:r>
          </w:p>
          <w:p w14:paraId="58EB265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relacje państ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wo–Kościół w we współczesnych reżimach komunistycznych;</w:t>
            </w:r>
          </w:p>
          <w:p w14:paraId="502A397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określa, jakie przemiany w Kościele zainicjował sobór watykański II;</w:t>
            </w:r>
          </w:p>
          <w:p w14:paraId="7EEC232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kolejne etapy w relacjach państwo–Kościół w Polsce od połowy lat 40. do końca lat 60. XX w.;</w:t>
            </w:r>
          </w:p>
          <w:p w14:paraId="440CCE6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działania Koś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cioła katolickiego w Polsce na Ziemiach Zachodnich i Północnych;</w:t>
            </w:r>
          </w:p>
          <w:p w14:paraId="3A582E33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neutralność światopoglądowa państwa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indyferentyzm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aggiornamento</w:t>
            </w:r>
          </w:p>
        </w:tc>
        <w:tc>
          <w:tcPr>
            <w:tcW w:w="2611" w:type="dxa"/>
          </w:tcPr>
          <w:p w14:paraId="63F1250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przemiany, które nastąpiły w Kościele katolickim w wyniku postanowień soboru watykańskiego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II;</w:t>
            </w:r>
          </w:p>
          <w:p w14:paraId="3525865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wskazuje, które z decyzji soboru watykańskiego II dotyczyły relacji między Kościołem i światem;</w:t>
            </w:r>
          </w:p>
          <w:p w14:paraId="7B9F451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wyjaśnia, na czym polegała komunistyczna polityka „rozdziału Kościoła od państwa”;</w:t>
            </w:r>
          </w:p>
          <w:p w14:paraId="282A77D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różne modele relacji między państwem a religią we współczes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nym świecie;</w:t>
            </w:r>
          </w:p>
          <w:p w14:paraId="00456AE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ocenia, czy można uznać, że w PRL ludzie wierząc byli spychani do roli obywateli drugiej kategorii, formułuje argumenty, odwołując się do konkretnych przykładów</w:t>
            </w:r>
          </w:p>
          <w:p w14:paraId="0221C41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2608" w:type="dxa"/>
          </w:tcPr>
          <w:p w14:paraId="646C0FA7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analizuje ikonografię w podręczniku (infografika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Państwo a Kościół w tradycji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 xml:space="preserve"> Rzeczypospolitej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) i uzasadnia, że Rzeczpospolita Obojga Narodów była państwem wyznaniowym, a Kościół katolicki miał w niej status Kościoła państwowego;</w:t>
            </w:r>
          </w:p>
          <w:p w14:paraId="20A16076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na podstawie analizy porównawczej konstytucji marcowej z 1921 r., konstytucji III RP z 1997 r. i konk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 xml:space="preserve">ordatu z 1993 r. (teksty w podręczniku) oraz znajomości realiów dzisiejszej Polski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określa, jaki model stosunków państwo–Kościół obowiązywał w II Rzeczypospolitej, a jaki obowiązuje w III RP;</w:t>
            </w:r>
          </w:p>
          <w:p w14:paraId="69FE4A8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• z punktu widzenia obywatela ocenia realizację zasady neutralno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</w:rPr>
              <w:t>ści światopoglądowej przez współczesne państwo polskie</w:t>
            </w:r>
          </w:p>
        </w:tc>
      </w:tr>
      <w:tr w:rsidR="003E10CC" w14:paraId="60ED43F6" w14:textId="77777777">
        <w:trPr>
          <w:trHeight w:val="397"/>
        </w:trPr>
        <w:tc>
          <w:tcPr>
            <w:tcW w:w="1784" w:type="dxa"/>
          </w:tcPr>
          <w:p w14:paraId="7114B20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bookmarkStart w:id="4" w:name="_Hlk104380650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lastRenderedPageBreak/>
              <w:t>27. Rok 1968 w Polsce i</w:t>
            </w:r>
            <w:bookmarkEnd w:id="4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 Czechosłowacji</w:t>
            </w:r>
          </w:p>
        </w:tc>
        <w:tc>
          <w:tcPr>
            <w:tcW w:w="2611" w:type="dxa"/>
          </w:tcPr>
          <w:p w14:paraId="41FF6D6C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grupy wewnątrz PZPR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zmierzające do przejęcia władzy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 wskazuje liderów tych frakcji: „Ślązacy” – Edward Gierek, „partyzanci” – Mieczysław Moczar;</w:t>
            </w:r>
          </w:p>
          <w:p w14:paraId="7F1593D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wymienia represji dotykające intelektualistów ze strony  władz PRL;</w:t>
            </w:r>
          </w:p>
          <w:p w14:paraId="79D55D2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i nazywa cztery procesy składające się na Polski Marzec 1968: rozgrywka o władzę wewnątrz PZPR, nagonka antyżydowska, atak na intelektualistów, wystąpienia studentów;</w:t>
            </w:r>
          </w:p>
          <w:p w14:paraId="09633D9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prezentuje przyczyny Praskiej Wiosny;</w:t>
            </w:r>
          </w:p>
          <w:p w14:paraId="3F3DB785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i wyjaśnia pojęcia: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„komandosi”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Marzec 1968, List 34, Praska Wiosn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a;</w:t>
            </w:r>
          </w:p>
          <w:p w14:paraId="3DB64CF9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wie, kim były wymienione postacie, i omawia ich historyczną rolę: Edward Gierek, Jacek Kuroń, Karol Modzelewski, Alexander Dubček;</w:t>
            </w:r>
          </w:p>
          <w:p w14:paraId="15B3B644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zna i 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otrafi rozwinąć skróty oraz omówić rolę formacji milicyjnych: ZOMO (Zmotoryzowane Odwody Milicji Obywatelskiej), ORMO (Ochotnicza Rezerwa Milicji Obywatelskiej)</w:t>
            </w:r>
          </w:p>
        </w:tc>
        <w:tc>
          <w:tcPr>
            <w:tcW w:w="2611" w:type="dxa"/>
          </w:tcPr>
          <w:p w14:paraId="2A63FEF5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pochodzenie nazw grup wewnątrzpartyjnych: „Ś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lązacy”, „partyzanci”;</w:t>
            </w:r>
          </w:p>
          <w:p w14:paraId="5938D5F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cztery 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rocesy składające się na Polski Marzec 1968;</w:t>
            </w:r>
          </w:p>
          <w:p w14:paraId="74746FB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haseł „Studenci do nauki, literaci do pióra!”, „Precz z syjonizmem!”, „Syjoniści do Izraela!”;</w:t>
            </w:r>
          </w:p>
          <w:p w14:paraId="31EDBDC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były Praska Wiosna 1968 r. i interwencja wojsk Układu Warszawskiego w Czechosł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owacji;</w:t>
            </w:r>
          </w:p>
          <w:p w14:paraId="08966B7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formy protestów przeciwko interwencji wojsk Układu Warszawskiego w Czechosłowacji;</w:t>
            </w:r>
          </w:p>
          <w:p w14:paraId="0DA5647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„Ślązacy”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„partyzanci”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nagonka antysyjonistyczna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emigracja pomarcowa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list otwarty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„aktyw robotniczy”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„ograniczona suwerenn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ość”, doktryna Breżniewa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samospalenie</w:t>
            </w:r>
          </w:p>
          <w:p w14:paraId="1D0CC1FD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wie, kim były wymienione postacie, i omawia ich historyczną rolę: Ryszard Siwiec, Mieczysław Moczar, Leszek Kołakowski, Adam Michnik, Henryk Szlajfer, Gustáv Husák, Leonid Breżniew</w:t>
            </w:r>
          </w:p>
        </w:tc>
        <w:tc>
          <w:tcPr>
            <w:tcW w:w="2609" w:type="dxa"/>
          </w:tcPr>
          <w:p w14:paraId="0D7AD1B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• charakteryzuje zaplecze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społeczne grup wewnątrzpartyjnych –  „Ślązaków” i „partyzantów”;</w:t>
            </w:r>
          </w:p>
          <w:p w14:paraId="3BCB316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omawia na przykładach reakcje społeczeństwa na protesty studenckie;</w:t>
            </w:r>
          </w:p>
          <w:p w14:paraId="7D339F9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omawia cel powołania i metody działania ZOMO;</w:t>
            </w:r>
          </w:p>
          <w:p w14:paraId="407EA69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omawia reakcje studentów czechosłowackich na wystąpienia studentów w Po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lsce, przywołuje przykłady działań;</w:t>
            </w:r>
          </w:p>
          <w:p w14:paraId="55C9F25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omawia reakcje studentów polskich na wystąpienia studentów czechosłowackich przywołuje przykłady działań</w:t>
            </w:r>
          </w:p>
        </w:tc>
        <w:tc>
          <w:tcPr>
            <w:tcW w:w="2611" w:type="dxa"/>
          </w:tcPr>
          <w:p w14:paraId="3F635E6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przyczyny, przebieg i skutki tzw. wydarzeń 1968 r. w Polsce;</w:t>
            </w:r>
          </w:p>
          <w:p w14:paraId="622A85D7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mawia skutki antyżydowskiej nago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nki rozpętanej w Polsce w latach 1967–1968 oraz ocenia jej znaczenie w wymiarze społecznym i politycznym;</w:t>
            </w:r>
          </w:p>
          <w:p w14:paraId="145D67D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protesty młodzieży, do których doszło w 1968 r. w Polsce i w krajach Europy Zachodniej (wskazuje różnice dotyczące przyczyn, głoszonych ha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seł i form działania);</w:t>
            </w:r>
          </w:p>
          <w:p w14:paraId="5E64872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na przykładzie Ryszarda Siwca i Jana Palacha omawia protesty przeciw wojskowej interwencji w Czechosłowacji, które przybrały formę aktów samospalenia;</w:t>
            </w:r>
          </w:p>
          <w:p w14:paraId="51A2C9C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kim był Jan Palach, i omawia jego historyczną rolę</w:t>
            </w:r>
          </w:p>
        </w:tc>
        <w:tc>
          <w:tcPr>
            <w:tcW w:w="2608" w:type="dxa"/>
          </w:tcPr>
          <w:p w14:paraId="6D239781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uzasadnia absurdalno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ść hasła „Syjoniści do Syjamu”;</w:t>
            </w:r>
          </w:p>
          <w:p w14:paraId="0978234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• ocenia akty samospalenia, jako szczególnie dramatyczne formy protestów przeciw interwencji Układu Warszawskiego w Czechosłowacji</w:t>
            </w:r>
          </w:p>
        </w:tc>
      </w:tr>
      <w:tr w:rsidR="003E10CC" w14:paraId="0F7846E4" w14:textId="77777777">
        <w:trPr>
          <w:trHeight w:val="397"/>
        </w:trPr>
        <w:tc>
          <w:tcPr>
            <w:tcW w:w="1784" w:type="dxa"/>
          </w:tcPr>
          <w:p w14:paraId="09551BE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28.</w:t>
            </w:r>
            <w:bookmarkStart w:id="5" w:name="_Hlk104380338"/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Schyłek rządów Gomułki i Grudzień 1970</w:t>
            </w:r>
            <w:bookmarkEnd w:id="5"/>
          </w:p>
        </w:tc>
        <w:tc>
          <w:tcPr>
            <w:tcW w:w="2611" w:type="dxa"/>
          </w:tcPr>
          <w:p w14:paraId="211CE14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wymienia przyczyny nieutrzymywania stosunków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dyplomatycznych przez RFN i PRL przed 1970 r.;</w:t>
            </w:r>
          </w:p>
          <w:p w14:paraId="6BFA877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zna założenia Ostpolitik Willy’ego Brandta;</w:t>
            </w:r>
          </w:p>
          <w:p w14:paraId="052C3FB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wymienia przyczyny, wydarzeń Grudnia 1970 r.;</w:t>
            </w:r>
          </w:p>
          <w:p w14:paraId="0D962F9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wie, kto zastąpił Władysława Gomułkę na stanowisku I sekretarza KC PZPR;</w:t>
            </w:r>
          </w:p>
          <w:p w14:paraId="55ABBBD2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i wyjaśnia pojęcia: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nomenklatura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mała stabilizacja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gospodarka niedoboru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„regulacja” cen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Czarny Czwartek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Grudzień 1970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ścieżki zdrowia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komitet strajkowy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postulaty strajkowe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porozumienie strajkujących z władzami</w:t>
            </w:r>
          </w:p>
          <w:p w14:paraId="3851419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1" w:type="dxa"/>
          </w:tcPr>
          <w:p w14:paraId="204D9FE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uprzywilejowaną pozycję osób należących do nomenklatury;</w:t>
            </w:r>
          </w:p>
          <w:p w14:paraId="5CFB8820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mawia problemy związane z nieuregulowaniem kwestii powojennej granicy Polski z Niemcami (brak traktatu pokojowego, zawarcie jedynie układu PRL–NRD, kwestionowanie polskiej granicy zachodniej przez RFN);</w:t>
            </w:r>
          </w:p>
          <w:p w14:paraId="38A22A7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założenia Ostpolitik kanclerza Willy’eg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Brandta, omawia czym różniła się ona od polityki prowadzonej wcześniej przez chadeckie rządy RFN;</w:t>
            </w:r>
          </w:p>
          <w:p w14:paraId="4043CDD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przebieg wydarzeń Grudnia 1970 r.;</w:t>
            </w:r>
          </w:p>
          <w:p w14:paraId="043D0DF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przedstawia pogrudniowe represje dotykające uczestników protestów na Wybrzeżu;</w:t>
            </w:r>
          </w:p>
          <w:p w14:paraId="354EB565" w14:textId="77777777" w:rsidR="003E10CC" w:rsidRDefault="001D7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wie, kim były wymienione post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acie, i omawia ich historyczną rolę: Willy Brandt, Zbigniew Godlewski („Janek Wiśniewski”), Stanisław Kociołek, Edward Gierek</w:t>
            </w:r>
          </w:p>
        </w:tc>
        <w:tc>
          <w:tcPr>
            <w:tcW w:w="2609" w:type="dxa"/>
          </w:tcPr>
          <w:p w14:paraId="2791C1A7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negatywne skutki dla państwa i społeczeństwa, które wynikały z obsadzania stanowisk według zależności nomenklatur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owej;</w:t>
            </w:r>
          </w:p>
          <w:p w14:paraId="1DBEF4F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kwestię niemiecką, jako narzędzie propagandy władz PRL;</w:t>
            </w:r>
          </w:p>
          <w:p w14:paraId="41C884A4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Ostpolitik Willy’ego Brandta jako przejaw zmiany polityki RFN w stosunku do krajów Europy Środkowej i Wschodniej;</w:t>
            </w:r>
          </w:p>
          <w:p w14:paraId="44956A6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znaczenie podpisanego 7 grudnia 1970 r. układu międ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zy PRL a RFN o podstawach normalizacji wzajemnych stosunków;</w:t>
            </w:r>
          </w:p>
          <w:p w14:paraId="3320080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 ocenia skutki wydarzeń Grudnia 1970 r.</w:t>
            </w:r>
          </w:p>
          <w:p w14:paraId="6EE0ABC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C2A5306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BFD85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1" w:type="dxa"/>
          </w:tcPr>
          <w:p w14:paraId="60DB15D6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 znaczenie Ostpolitik Willy’ego Brandta jako przejawu zmiany polityki RFN wobec krajów Europy Środkowej i Wschodniej (ze szczególnym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uwzględnieniem Polski);</w:t>
            </w:r>
          </w:p>
          <w:p w14:paraId="4FE18E3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protesty, do których doszło w Polsce w marcu 1968 r. i w grudniu 1970 r. (forma, przebieg, uczestnicy), wskazuje podobieństwa i różnice;</w:t>
            </w:r>
          </w:p>
          <w:p w14:paraId="1B1A3EF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omawia przynależność do partii komunistycznej jako główną ścieżkę kariery zawodow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ej i dobrobytu materialnego oraz jeden z mechanizmów sowietyzacji Polski;</w:t>
            </w:r>
          </w:p>
          <w:p w14:paraId="58EE0875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C746F9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8" w:type="dxa"/>
          </w:tcPr>
          <w:p w14:paraId="7DFA8975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samodzielnie wyszukuje informacje na temat upamiętnienia miejsc wystąpień społecznych z 1956, 1968, 1970 r. – tworzy mapę i scenariusz wycieczki klasowej „Szlakiem upamiętnień kr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yzysów PRL” lub przygotowuje materiały w formie wirtualnej wycieczki</w:t>
            </w:r>
          </w:p>
        </w:tc>
      </w:tr>
    </w:tbl>
    <w:p w14:paraId="14445633" w14:textId="77777777" w:rsidR="003E10CC" w:rsidRDefault="001D70FA">
      <w:pPr>
        <w:tabs>
          <w:tab w:val="left" w:pos="50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ab/>
      </w:r>
    </w:p>
    <w:p w14:paraId="1CAB8CF0" w14:textId="77777777" w:rsidR="003E10CC" w:rsidRDefault="003E10CC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C4AA5AE" w14:textId="77777777" w:rsidR="003E10CC" w:rsidRDefault="001D70FA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Arial"/>
          <w:b/>
          <w:bCs/>
          <w:color w:val="003892"/>
          <w:sz w:val="24"/>
          <w:szCs w:val="24"/>
        </w:rPr>
        <w:t>OCENA PRACY ZE ŹRÓDŁEM HISTORYCZNYM</w:t>
      </w:r>
      <w:r>
        <w:rPr>
          <w:rStyle w:val="Zakotwiczenieprzypisudolnego"/>
          <w:rFonts w:ascii="Times New Roman" w:eastAsia="Calibri" w:hAnsi="Times New Roman" w:cs="Arial"/>
          <w:b/>
          <w:bCs/>
          <w:color w:val="003892"/>
          <w:sz w:val="24"/>
          <w:szCs w:val="24"/>
        </w:rPr>
        <w:footnoteReference w:id="2"/>
      </w:r>
    </w:p>
    <w:p w14:paraId="56C303E3" w14:textId="77777777" w:rsidR="003E10CC" w:rsidRDefault="003E10C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86"/>
        <w:gridCol w:w="2604"/>
        <w:gridCol w:w="2611"/>
        <w:gridCol w:w="1299"/>
        <w:gridCol w:w="1304"/>
        <w:gridCol w:w="2612"/>
        <w:gridCol w:w="2609"/>
      </w:tblGrid>
      <w:tr w:rsidR="003E10CC" w14:paraId="40597B5F" w14:textId="77777777">
        <w:tc>
          <w:tcPr>
            <w:tcW w:w="1786" w:type="dxa"/>
            <w:shd w:val="clear" w:color="auto" w:fill="F7C281"/>
            <w:vAlign w:val="center"/>
          </w:tcPr>
          <w:p w14:paraId="12790917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Źródła pisane</w:t>
            </w:r>
          </w:p>
        </w:tc>
        <w:tc>
          <w:tcPr>
            <w:tcW w:w="2605" w:type="dxa"/>
            <w:shd w:val="clear" w:color="auto" w:fill="F7C281"/>
            <w:vAlign w:val="center"/>
          </w:tcPr>
          <w:p w14:paraId="485E60DE" w14:textId="77777777" w:rsidR="003E10CC" w:rsidRDefault="003E10CC">
            <w:pPr>
              <w:spacing w:after="0" w:line="240" w:lineRule="auto"/>
              <w:jc w:val="center"/>
              <w:rPr>
                <w:rFonts w:eastAsia="Calibri"/>
              </w:rPr>
            </w:pPr>
          </w:p>
          <w:p w14:paraId="67B6F040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dopuszczająca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</w:p>
          <w:p w14:paraId="702BABA7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2613" w:type="dxa"/>
            <w:shd w:val="clear" w:color="auto" w:fill="F7C281"/>
            <w:vAlign w:val="center"/>
          </w:tcPr>
          <w:p w14:paraId="56650ECB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dostateczna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</w:p>
          <w:p w14:paraId="7DF55596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Uczeń wie i potrafi to, co na</w:t>
            </w:r>
          </w:p>
          <w:p w14:paraId="47E16583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ocenę dopuszczającą, oraz:</w:t>
            </w:r>
          </w:p>
        </w:tc>
        <w:tc>
          <w:tcPr>
            <w:tcW w:w="2605" w:type="dxa"/>
            <w:gridSpan w:val="2"/>
            <w:shd w:val="clear" w:color="auto" w:fill="F7C281"/>
            <w:vAlign w:val="center"/>
          </w:tcPr>
          <w:p w14:paraId="2D001C8C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dobra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.</w:t>
            </w:r>
          </w:p>
          <w:p w14:paraId="7853E50C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Uczeń wie i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potrafi to, co na</w:t>
            </w:r>
          </w:p>
          <w:p w14:paraId="4586F46C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ocenę dostateczną, oraz:</w:t>
            </w:r>
          </w:p>
        </w:tc>
        <w:tc>
          <w:tcPr>
            <w:tcW w:w="2614" w:type="dxa"/>
            <w:shd w:val="clear" w:color="auto" w:fill="F7C281"/>
            <w:vAlign w:val="center"/>
          </w:tcPr>
          <w:p w14:paraId="655B9ED6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bardzo dobra</w:t>
            </w:r>
          </w:p>
          <w:p w14:paraId="06E95C26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Uczeń wie i potrafi to, co na</w:t>
            </w:r>
          </w:p>
          <w:p w14:paraId="4180E091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ocenę dobrą,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oraz:</w:t>
            </w:r>
          </w:p>
        </w:tc>
        <w:tc>
          <w:tcPr>
            <w:tcW w:w="2611" w:type="dxa"/>
            <w:shd w:val="clear" w:color="auto" w:fill="F7C281"/>
            <w:vAlign w:val="center"/>
          </w:tcPr>
          <w:p w14:paraId="0833EE73" w14:textId="77777777" w:rsidR="003E10CC" w:rsidRDefault="001D70FA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br/>
              <w:t xml:space="preserve">ocena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celująca</w:t>
            </w:r>
          </w:p>
          <w:p w14:paraId="4B4F681A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Uczeń wie i potrafi to, co na ocenę bardzo dobrą, oraz:</w:t>
            </w:r>
          </w:p>
        </w:tc>
      </w:tr>
      <w:tr w:rsidR="003E10CC" w14:paraId="14673891" w14:textId="77777777">
        <w:tc>
          <w:tcPr>
            <w:tcW w:w="1786" w:type="dxa"/>
            <w:vMerge w:val="restart"/>
          </w:tcPr>
          <w:p w14:paraId="43DEC1C1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53BBE59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6A6317C9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76945C9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34B24177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358635E4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78CE467D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opisowe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(relacyjno-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br/>
              <w:t>-narracyjne)</w:t>
            </w:r>
          </w:p>
          <w:p w14:paraId="1C73215F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07D40C0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  <w:p w14:paraId="6CDD820A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</w:rPr>
              <w:t>normatywne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(dokumenty, akta)</w:t>
            </w:r>
          </w:p>
        </w:tc>
        <w:tc>
          <w:tcPr>
            <w:tcW w:w="13048" w:type="dxa"/>
            <w:gridSpan w:val="6"/>
          </w:tcPr>
          <w:p w14:paraId="08D2A742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ELEMENTY KRYTYKI WEWNĘTRZNEJ ŹRÓDŁA</w:t>
            </w:r>
          </w:p>
        </w:tc>
      </w:tr>
      <w:tr w:rsidR="003E10CC" w14:paraId="51EF2EB1" w14:textId="77777777">
        <w:tc>
          <w:tcPr>
            <w:tcW w:w="1786" w:type="dxa"/>
            <w:vMerge/>
          </w:tcPr>
          <w:p w14:paraId="56F1BEE2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6518" w:type="dxa"/>
            <w:gridSpan w:val="3"/>
            <w:shd w:val="clear" w:color="auto" w:fill="BFBFBF" w:themeFill="background1" w:themeFillShade="BF"/>
          </w:tcPr>
          <w:p w14:paraId="1334C463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6530" w:type="dxa"/>
            <w:gridSpan w:val="3"/>
          </w:tcPr>
          <w:p w14:paraId="6A5ECD19" w14:textId="77777777" w:rsidR="003E10CC" w:rsidRDefault="001D70F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ELEMENTY KRYTYKI ZEWNĘTRZNEJ ŹRÓDŁA</w:t>
            </w:r>
          </w:p>
        </w:tc>
      </w:tr>
      <w:tr w:rsidR="003E10CC" w14:paraId="27C4D14B" w14:textId="77777777">
        <w:tc>
          <w:tcPr>
            <w:tcW w:w="1786" w:type="dxa"/>
            <w:vMerge/>
          </w:tcPr>
          <w:p w14:paraId="5FDF2ABE" w14:textId="77777777" w:rsidR="003E10CC" w:rsidRDefault="003E10CC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2605" w:type="dxa"/>
          </w:tcPr>
          <w:p w14:paraId="0F77B13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wskazuje w tekście fragmenty, w których znajdują się odpowiedzi na pytania badawcze;</w:t>
            </w:r>
          </w:p>
          <w:p w14:paraId="7DD5431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wymienia, wypisuje z tekstu: fakty, daty, pojęcia, postacie itd.;</w:t>
            </w:r>
          </w:p>
          <w:p w14:paraId="797AF21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z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pomocą nauczyciela próbuje odpowiedzieć na pytania badawcze</w:t>
            </w:r>
          </w:p>
        </w:tc>
        <w:tc>
          <w:tcPr>
            <w:tcW w:w="2613" w:type="dxa"/>
          </w:tcPr>
          <w:p w14:paraId="7CA538A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wyjaśnia pojęcia użyte w źródle na podstawie własnej wiedzy;</w:t>
            </w:r>
          </w:p>
          <w:p w14:paraId="697AA38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samodzielnie stara się odpowiadać na pytania badawcze, czasami potrzebuje pytań naprowadzających (dodatkowych) sformułowanych przez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nauczyciela;</w:t>
            </w:r>
          </w:p>
          <w:p w14:paraId="20E1261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nazywa procesy, wydarzenia, których dotyczy źródło;</w:t>
            </w:r>
          </w:p>
          <w:p w14:paraId="787E762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przebieg wydarzeń, wykazując się znajomością chronologii historycznej;</w:t>
            </w:r>
          </w:p>
          <w:p w14:paraId="26887CE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odnajduje informacje naprowadzające na możliwość datowania, ustalenia czasu powstania źródła;</w:t>
            </w:r>
          </w:p>
          <w:p w14:paraId="5D2D958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odnajduje informacje naprowadzające na możliwość ustalenia autora źródła</w:t>
            </w:r>
          </w:p>
        </w:tc>
        <w:tc>
          <w:tcPr>
            <w:tcW w:w="2605" w:type="dxa"/>
            <w:gridSpan w:val="2"/>
          </w:tcPr>
          <w:p w14:paraId="38CEE29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porównuje fakty, zjawiska (wskazuje podobieństwa i różnice);</w:t>
            </w:r>
          </w:p>
          <w:p w14:paraId="73D7A6A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omawia procesy (wykazuje się myśleniem przyczynowo-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br/>
              <w:t>-skutkowym);</w:t>
            </w:r>
          </w:p>
          <w:p w14:paraId="3322234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charakteryzuje / opisuje przebieg wydarzeń, wskazuj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ąc najważniejsze z nich (potrafi hierarchizować);</w:t>
            </w:r>
          </w:p>
          <w:p w14:paraId="3FB0FC8A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rozważa interpretacje źródeł (podaje argumenty za i przeciw);</w:t>
            </w:r>
          </w:p>
          <w:p w14:paraId="03D5237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wyjaśnia relacje między zjawiskami, działaniami ludzkimi;</w:t>
            </w:r>
          </w:p>
          <w:p w14:paraId="22BF0E5C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samodzielnie odpowiada na pytania badawcze;</w:t>
            </w:r>
          </w:p>
          <w:p w14:paraId="1696AFB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analizuje informacje naprowadzając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e na możliwość datowania źródła;</w:t>
            </w:r>
          </w:p>
          <w:p w14:paraId="2DE10170" w14:textId="77777777" w:rsidR="003E10CC" w:rsidRDefault="001D70F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• zna pojęcia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terminus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t>post quem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(„najwcześniejszy możliwy”) i </w:t>
            </w:r>
            <w:r>
              <w:rPr>
                <w:rFonts w:ascii="Times New Roman" w:eastAsia="Calibri" w:hAnsi="Times New Roman" w:cs="Calibri"/>
                <w:i/>
                <w:iCs/>
                <w:sz w:val="20"/>
                <w:szCs w:val="20"/>
              </w:rPr>
              <w:lastRenderedPageBreak/>
              <w:t>terminus ante quem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(„najpóźniejszy możliwy);</w:t>
            </w:r>
          </w:p>
          <w:p w14:paraId="2C00F15E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ustala autora źródła;</w:t>
            </w:r>
          </w:p>
          <w:p w14:paraId="3B38682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podejmuje próbę własnej interpretacji treści źródła</w:t>
            </w:r>
          </w:p>
        </w:tc>
        <w:tc>
          <w:tcPr>
            <w:tcW w:w="2614" w:type="dxa"/>
          </w:tcPr>
          <w:p w14:paraId="7E00AB8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lastRenderedPageBreak/>
              <w:t xml:space="preserve">• uzasadnia swoje zdanie, 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sformułowaną tezę –formułuje argumenty, kontrargumenty;</w:t>
            </w:r>
          </w:p>
          <w:p w14:paraId="7AC17AE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formułuje oceny, opinie na podstawie wiedzy własnej, posługując się argumentami;</w:t>
            </w:r>
          </w:p>
          <w:p w14:paraId="6B953C3F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ocenia argumenty użyte przez autora źródła;</w:t>
            </w:r>
          </w:p>
          <w:p w14:paraId="5735239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ocenia wiarygodność źródła, prawdziwość zawartych w nim informacji, w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ykrywa pomyłki, manipulacje;</w:t>
            </w:r>
          </w:p>
          <w:p w14:paraId="2CA41913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interpretuje treść źródła;</w:t>
            </w:r>
          </w:p>
          <w:p w14:paraId="2E62BBFB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ustala autorstwo (w odniesieniu nie tylko do osób, lecz także instytucji, organizacji);</w:t>
            </w:r>
          </w:p>
          <w:p w14:paraId="1CD24A00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ustala okoliczności powstania źródła na podstawie jego treści i wiedzy własnej</w:t>
            </w:r>
          </w:p>
        </w:tc>
        <w:tc>
          <w:tcPr>
            <w:tcW w:w="2611" w:type="dxa"/>
          </w:tcPr>
          <w:p w14:paraId="4A6DB638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 analizie i interpretacj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>i źródła wykorzystuje wiedzę z różnych obszarów (literatura, sztuka, prawo, nauki społeczne itp.);</w:t>
            </w:r>
          </w:p>
          <w:p w14:paraId="6DF46279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w analizie i interpretacji źródła wykorzystuje wiedzę z zakresu nauk pomocniczych historii;</w:t>
            </w:r>
          </w:p>
          <w:p w14:paraId="5372BDE2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przedstawia czynniki powiązane z treścią źródła i odniesienia</w:t>
            </w:r>
            <w:r>
              <w:rPr>
                <w:rFonts w:ascii="Times New Roman" w:eastAsia="Calibri" w:hAnsi="Times New Roman" w:cs="Calibri"/>
                <w:sz w:val="20"/>
                <w:szCs w:val="20"/>
              </w:rPr>
              <w:t xml:space="preserve"> niezbędne do jego zrozumienia (m.in. sytuacja społeczna, polityczna, gospodarcza, uwarunkowania historyczne, dzieła kultury);</w:t>
            </w:r>
          </w:p>
          <w:p w14:paraId="73EB5FBD" w14:textId="77777777" w:rsidR="003E10CC" w:rsidRDefault="001D70FA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• stara się myśleć niekonwencjonalnie, przedstawia twórcze rozwiązania</w:t>
            </w:r>
          </w:p>
        </w:tc>
      </w:tr>
    </w:tbl>
    <w:p w14:paraId="449DF8FF" w14:textId="77777777" w:rsidR="003E10CC" w:rsidRDefault="003E10CC">
      <w:pPr>
        <w:ind w:left="142"/>
        <w:rPr>
          <w:rFonts w:ascii="Times New Roman" w:hAnsi="Times New Roman"/>
        </w:rPr>
      </w:pPr>
    </w:p>
    <w:sectPr w:rsidR="003E10CC">
      <w:headerReference w:type="default" r:id="rId10"/>
      <w:footerReference w:type="default" r:id="rId11"/>
      <w:pgSz w:w="16838" w:h="11906" w:orient="landscape"/>
      <w:pgMar w:top="1560" w:right="850" w:bottom="849" w:left="85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87BD" w14:textId="77777777" w:rsidR="00000000" w:rsidRDefault="001D70FA">
      <w:pPr>
        <w:spacing w:after="0" w:line="240" w:lineRule="auto"/>
      </w:pPr>
      <w:r>
        <w:separator/>
      </w:r>
    </w:p>
  </w:endnote>
  <w:endnote w:type="continuationSeparator" w:id="0">
    <w:p w14:paraId="34A7C763" w14:textId="77777777" w:rsidR="00000000" w:rsidRDefault="001D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A304" w14:textId="77777777" w:rsidR="003E10CC" w:rsidRDefault="001D70FA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val="en-US"/>
      </w:rPr>
      <mc:AlternateContent>
        <mc:Choice Requires="wps">
          <w:drawing>
            <wp:anchor distT="9525" distB="9525" distL="123825" distR="123825" simplePos="0" relativeHeight="24" behindDoc="1" locked="0" layoutInCell="0" allowOverlap="1" wp14:anchorId="4C4E5C00" wp14:editId="752C3FC4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635"/>
              <wp:effectExtent l="0" t="0" r="0" b="0"/>
              <wp:wrapNone/>
              <wp:docPr id="1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3BAEB" id="Łącznik prostoliniowy 3" o:spid="_x0000_s1026" style="position:absolute;z-index:-503316456;visibility:visible;mso-wrap-style:square;mso-wrap-distance-left:9.75pt;mso-wrap-distance-top:.75pt;mso-wrap-distance-right:9.75pt;mso-wrap-distance-bottom:.75pt;mso-position-horizontal:absolute;mso-position-horizontal-relative:text;mso-position-vertical:absolute;mso-position-vertical-relative:text" from="-26.05pt,.1pt" to="72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" o:allowincell="f" strokecolor="#f09120" strokeweight=".53mm"/>
          </w:pict>
        </mc:Fallback>
      </mc:AlternateContent>
    </w:r>
  </w:p>
  <w:p w14:paraId="7432B9E0" w14:textId="77777777" w:rsidR="003E10CC" w:rsidRDefault="001D70FA">
    <w:pPr>
      <w:pStyle w:val="Stopka"/>
      <w:tabs>
        <w:tab w:val="clear" w:pos="9072"/>
        <w:tab w:val="right" w:pos="9639"/>
      </w:tabs>
      <w:ind w:left="-567" w:right="1"/>
      <w:rPr>
        <w:lang w:eastAsia="pl-PL"/>
      </w:rPr>
    </w:pPr>
    <w:r>
      <w:rPr>
        <w:noProof/>
        <w:lang w:val="en-US"/>
      </w:rPr>
      <mc:AlternateContent>
        <mc:Choice Requires="wps">
          <w:drawing>
            <wp:anchor distT="3175" distB="3175" distL="117475" distR="117475" simplePos="0" relativeHeight="47" behindDoc="1" locked="0" layoutInCell="0" allowOverlap="1" wp14:anchorId="3D974541" wp14:editId="6F489C9C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635"/>
              <wp:effectExtent l="0" t="0" r="0" b="0"/>
              <wp:wrapNone/>
              <wp:docPr id="2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4470B1" id="Łącznik prostoliniowy 5" o:spid="_x0000_s1026" style="position:absolute;z-index:-503316433;visibility:visible;mso-wrap-style:square;mso-wrap-distance-left:9.25pt;mso-wrap-distance-top:.25pt;mso-wrap-distance-right:9.25pt;mso-wrap-distance-bottom:.25pt;mso-position-horizontal:absolute;mso-position-horizontal-relative:text;mso-position-vertical:absolute;mso-position-vertical-relative:text" from="-26.05pt,8.8pt" to="725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" o:allowincell="f" strokeweight=".18mm"/>
          </w:pict>
        </mc:Fallback>
      </mc:AlternateContent>
    </w:r>
  </w:p>
  <w:p w14:paraId="5911B604" w14:textId="77777777" w:rsidR="003E10CC" w:rsidRDefault="003E10CC">
    <w:pPr>
      <w:pStyle w:val="Stopka"/>
      <w:tabs>
        <w:tab w:val="clear" w:pos="4536"/>
        <w:tab w:val="clear" w:pos="9072"/>
      </w:tabs>
      <w:ind w:left="-2155" w:right="57" w:firstLine="709"/>
      <w:jc w:val="right"/>
    </w:pPr>
  </w:p>
  <w:p w14:paraId="1780AA2C" w14:textId="77777777" w:rsidR="003E10CC" w:rsidRDefault="003E10CC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3E0D10FB" w14:textId="77777777" w:rsidR="003E10CC" w:rsidRDefault="003E10CC">
    <w:pPr>
      <w:pStyle w:val="Stopka"/>
      <w:tabs>
        <w:tab w:val="clear" w:pos="4536"/>
        <w:tab w:val="clear" w:pos="9072"/>
      </w:tabs>
      <w:ind w:left="-1417"/>
      <w:rPr>
        <w:lang w:eastAsia="pl-PL"/>
      </w:rPr>
    </w:pPr>
  </w:p>
  <w:p w14:paraId="16515377" w14:textId="448BDE72" w:rsidR="003E10CC" w:rsidRDefault="001D70FA">
    <w:pPr>
      <w:pStyle w:val="Stopka"/>
      <w:ind w:left="-141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48FBAD62" w14:textId="77777777" w:rsidR="003E10CC" w:rsidRDefault="003E10CC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C855" w14:textId="77777777" w:rsidR="003E10CC" w:rsidRDefault="001D70FA">
      <w:pPr>
        <w:rPr>
          <w:sz w:val="12"/>
        </w:rPr>
      </w:pPr>
      <w:r>
        <w:separator/>
      </w:r>
    </w:p>
  </w:footnote>
  <w:footnote w:type="continuationSeparator" w:id="0">
    <w:p w14:paraId="01C0DBEC" w14:textId="77777777" w:rsidR="003E10CC" w:rsidRDefault="001D70FA">
      <w:pPr>
        <w:rPr>
          <w:sz w:val="12"/>
        </w:rPr>
      </w:pPr>
      <w:r>
        <w:continuationSeparator/>
      </w:r>
    </w:p>
  </w:footnote>
  <w:footnote w:id="1">
    <w:p w14:paraId="4FAD103F" w14:textId="77777777" w:rsidR="003E10CC" w:rsidRDefault="001D70FA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</w:p>
  </w:footnote>
  <w:footnote w:id="2">
    <w:p w14:paraId="3D55193A" w14:textId="77777777" w:rsidR="003E10CC" w:rsidRDefault="001D70FA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 zestawieniu zostały przedstawione jako przykład wymagania dotyczące pracy ze źródłami pisanymi.</w:t>
      </w:r>
    </w:p>
    <w:p w14:paraId="04B5A5D5" w14:textId="77777777" w:rsidR="003E10CC" w:rsidRDefault="003E10CC">
      <w:pPr>
        <w:pStyle w:val="Tekstprzypisudolnego"/>
        <w:rPr>
          <w:sz w:val="10"/>
          <w:szCs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1FFF" w14:textId="77777777" w:rsidR="003E10CC" w:rsidRDefault="003E10CC">
    <w:pPr>
      <w:pStyle w:val="Nagwek"/>
      <w:tabs>
        <w:tab w:val="clear" w:pos="9072"/>
      </w:tabs>
      <w:spacing w:after="40"/>
      <w:ind w:left="142" w:right="142"/>
    </w:pPr>
  </w:p>
  <w:p w14:paraId="29173F8C" w14:textId="77777777" w:rsidR="003E10CC" w:rsidRDefault="003E10CC">
    <w:pPr>
      <w:pStyle w:val="Nagwek"/>
      <w:tabs>
        <w:tab w:val="clear" w:pos="9072"/>
      </w:tabs>
      <w:ind w:left="142" w:right="142"/>
    </w:pPr>
  </w:p>
  <w:p w14:paraId="7BEDA364" w14:textId="77777777" w:rsidR="003E10CC" w:rsidRDefault="003E10CC">
    <w:pPr>
      <w:pStyle w:val="Nagwek"/>
      <w:tabs>
        <w:tab w:val="clear" w:pos="9072"/>
      </w:tabs>
      <w:ind w:left="142" w:right="142"/>
    </w:pPr>
  </w:p>
  <w:p w14:paraId="66A222BF" w14:textId="77777777" w:rsidR="003E10CC" w:rsidRDefault="003E10CC">
    <w:pPr>
      <w:pStyle w:val="Nagwek"/>
      <w:tabs>
        <w:tab w:val="clear" w:pos="9072"/>
      </w:tabs>
      <w:ind w:left="142" w:right="-283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CC"/>
    <w:rsid w:val="001D70FA"/>
    <w:rsid w:val="003E10CC"/>
    <w:rsid w:val="005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232C"/>
  <w15:docId w15:val="{7FBA68E5-06A7-4B5D-B3B5-A04C90C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"/>
    <w:qFormat/>
    <w:rsid w:val="00143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0D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30D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5633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1430D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430D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430D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f01">
    <w:name w:val="cf01"/>
    <w:basedOn w:val="Domylnaczcionkaakapitu"/>
    <w:qFormat/>
    <w:rsid w:val="001430D7"/>
    <w:rPr>
      <w:rFonts w:ascii="Segoe UI" w:hAnsi="Segoe UI" w:cs="Segoe UI"/>
      <w:b/>
      <w:bCs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30D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430D7"/>
    <w:rPr>
      <w:vertAlign w:val="superscript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143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percze1">
    <w:name w:val="Hiperłącze1"/>
    <w:basedOn w:val="Domylnaczcionkaakapitu"/>
    <w:uiPriority w:val="99"/>
    <w:unhideWhenUsed/>
    <w:qFormat/>
    <w:rsid w:val="001430D7"/>
    <w:rPr>
      <w:color w:val="0563C1"/>
      <w:u w:val="single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143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qFormat/>
    <w:rsid w:val="00143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1430D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0E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30EB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0EB0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430D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1430D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ezodstpw">
    <w:name w:val="No Spacing"/>
    <w:uiPriority w:val="1"/>
    <w:qFormat/>
    <w:rsid w:val="001430D7"/>
  </w:style>
  <w:style w:type="paragraph" w:customStyle="1" w:styleId="Default">
    <w:name w:val="Default"/>
    <w:qFormat/>
    <w:rsid w:val="001430D7"/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0D7"/>
    <w:pPr>
      <w:spacing w:after="0" w:line="240" w:lineRule="auto"/>
    </w:pPr>
    <w:rPr>
      <w:sz w:val="20"/>
      <w:szCs w:val="20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1430D7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30D7"/>
    <w:pPr>
      <w:spacing w:after="100" w:line="259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1430D7"/>
    <w:pPr>
      <w:spacing w:after="100" w:line="259" w:lineRule="auto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30D7"/>
    <w:pPr>
      <w:spacing w:after="100" w:line="259" w:lineRule="auto"/>
      <w:ind w:left="440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30E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30EB0"/>
    <w:rPr>
      <w:b/>
      <w:bCs/>
    </w:rPr>
  </w:style>
  <w:style w:type="paragraph" w:styleId="Poprawka">
    <w:name w:val="Revision"/>
    <w:uiPriority w:val="99"/>
    <w:semiHidden/>
    <w:qFormat/>
    <w:rsid w:val="00B57A70"/>
  </w:style>
  <w:style w:type="table" w:styleId="Tabela-Siatka">
    <w:name w:val="Table Grid"/>
    <w:basedOn w:val="Standardowy"/>
    <w:uiPriority w:val="3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14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34C603E994D143AA0CD78F196B091D" ma:contentTypeVersion="11" ma:contentTypeDescription="Utwórz nowy dokument." ma:contentTypeScope="" ma:versionID="315dca5ba8eb87fc8c4edf6ee4ec0ce3">
  <xsd:schema xmlns:xsd="http://www.w3.org/2001/XMLSchema" xmlns:xs="http://www.w3.org/2001/XMLSchema" xmlns:p="http://schemas.microsoft.com/office/2006/metadata/properties" xmlns:ns3="9e4c3772-0d5c-4347-9031-c4a6280ac34a" xmlns:ns4="f0141bae-47f9-4d0f-b488-a0bb0ee3650a" targetNamespace="http://schemas.microsoft.com/office/2006/metadata/properties" ma:root="true" ma:fieldsID="4e680c65b5de931f2b1e4e398ad6d66e" ns3:_="" ns4:_="">
    <xsd:import namespace="9e4c3772-0d5c-4347-9031-c4a6280ac34a"/>
    <xsd:import namespace="f0141bae-47f9-4d0f-b488-a0bb0ee36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3772-0d5c-4347-9031-c4a6280ac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bae-47f9-4d0f-b488-a0bb0ee36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666F-FAF2-4D33-B3B2-21313FE5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c3772-0d5c-4347-9031-c4a6280ac34a"/>
    <ds:schemaRef ds:uri="f0141bae-47f9-4d0f-b488-a0bb0ee36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82B94-20A3-46AA-838D-73C8960C0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91A40-BB00-4760-AD74-16F550686687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9e4c3772-0d5c-4347-9031-c4a6280ac34a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f0141bae-47f9-4d0f-b488-a0bb0ee3650a"/>
  </ds:schemaRefs>
</ds:datastoreItem>
</file>

<file path=customXml/itemProps4.xml><?xml version="1.0" encoding="utf-8"?>
<ds:datastoreItem xmlns:ds="http://schemas.openxmlformats.org/officeDocument/2006/customXml" ds:itemID="{4F3F77C2-78BE-4F1B-817A-78265841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8840</Words>
  <Characters>50389</Characters>
  <Application>Microsoft Office Word</Application>
  <DocSecurity>0</DocSecurity>
  <Lines>419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dc:description/>
  <cp:lastModifiedBy>Karolina Motyka</cp:lastModifiedBy>
  <cp:revision>2</cp:revision>
  <dcterms:created xsi:type="dcterms:W3CDTF">2022-09-30T15:58:00Z</dcterms:created>
  <dcterms:modified xsi:type="dcterms:W3CDTF">2022-09-30T15:58:00Z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0x0101009E34C603E994D143AA0CD78F196B091D</vt:lpwstr>
  </property>
</Properties>
</file>